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B8EFE" w14:textId="77777777" w:rsidR="00030AC0" w:rsidRDefault="00030AC0" w:rsidP="00030AC0">
      <w:pPr>
        <w:pStyle w:val="ae"/>
        <w:shd w:val="clear" w:color="auto" w:fill="FFFFFF"/>
        <w:spacing w:before="0" w:beforeAutospacing="0" w:after="0" w:afterAutospacing="0"/>
        <w:jc w:val="center"/>
        <w:rPr>
          <w:color w:val="333333"/>
          <w:sz w:val="36"/>
          <w:szCs w:val="36"/>
        </w:rPr>
      </w:pPr>
      <w:r>
        <w:rPr>
          <w:rStyle w:val="af"/>
          <w:rFonts w:hint="eastAsia"/>
          <w:color w:val="333333"/>
          <w:sz w:val="36"/>
          <w:szCs w:val="36"/>
          <w:bdr w:val="none" w:sz="0" w:space="0" w:color="auto" w:frame="1"/>
        </w:rPr>
        <w:t>国务院办公厅关于深化投资审批</w:t>
      </w:r>
    </w:p>
    <w:p w14:paraId="5329746C" w14:textId="77777777" w:rsidR="00030AC0" w:rsidRDefault="00030AC0" w:rsidP="00030AC0">
      <w:pPr>
        <w:pStyle w:val="ae"/>
        <w:shd w:val="clear" w:color="auto" w:fill="FFFFFF"/>
        <w:spacing w:before="0" w:beforeAutospacing="0" w:after="0" w:afterAutospacing="0"/>
        <w:jc w:val="center"/>
        <w:rPr>
          <w:rFonts w:hint="eastAsia"/>
          <w:color w:val="333333"/>
          <w:sz w:val="36"/>
          <w:szCs w:val="36"/>
        </w:rPr>
      </w:pPr>
      <w:r>
        <w:rPr>
          <w:rStyle w:val="af"/>
          <w:rFonts w:hint="eastAsia"/>
          <w:color w:val="333333"/>
          <w:sz w:val="36"/>
          <w:szCs w:val="36"/>
          <w:bdr w:val="none" w:sz="0" w:space="0" w:color="auto" w:frame="1"/>
        </w:rPr>
        <w:t>制度改革的意见</w:t>
      </w:r>
    </w:p>
    <w:p w14:paraId="78643E61" w14:textId="77777777" w:rsidR="00030AC0" w:rsidRDefault="00030AC0" w:rsidP="00030AC0">
      <w:pPr>
        <w:pStyle w:val="ae"/>
        <w:shd w:val="clear" w:color="auto" w:fill="FFFFFF"/>
        <w:spacing w:before="0" w:beforeAutospacing="0" w:after="0" w:afterAutospacing="0"/>
        <w:jc w:val="center"/>
        <w:rPr>
          <w:rFonts w:hint="eastAsia"/>
          <w:color w:val="333333"/>
        </w:rPr>
      </w:pPr>
      <w:r>
        <w:rPr>
          <w:rFonts w:ascii="楷体" w:eastAsia="楷体" w:hAnsi="楷体" w:hint="eastAsia"/>
          <w:color w:val="333333"/>
          <w:bdr w:val="none" w:sz="0" w:space="0" w:color="auto" w:frame="1"/>
        </w:rPr>
        <w:t>国办发〔2026〕13号</w:t>
      </w:r>
    </w:p>
    <w:p w14:paraId="38BA05B3" w14:textId="77777777" w:rsidR="00030AC0" w:rsidRDefault="00030AC0" w:rsidP="00030AC0">
      <w:pPr>
        <w:pStyle w:val="ae"/>
        <w:shd w:val="clear" w:color="auto" w:fill="FFFFFF"/>
        <w:spacing w:before="0" w:beforeAutospacing="0" w:after="0" w:afterAutospacing="0"/>
        <w:rPr>
          <w:rFonts w:hint="eastAsia"/>
          <w:color w:val="333333"/>
        </w:rPr>
      </w:pPr>
      <w:r>
        <w:rPr>
          <w:rFonts w:hint="eastAsia"/>
          <w:color w:val="333333"/>
          <w:bdr w:val="none" w:sz="0" w:space="0" w:color="auto" w:frame="1"/>
        </w:rPr>
        <w:br/>
      </w:r>
    </w:p>
    <w:p w14:paraId="5379849C" w14:textId="77777777" w:rsidR="00030AC0" w:rsidRDefault="00030AC0" w:rsidP="00030AC0">
      <w:pPr>
        <w:pStyle w:val="ae"/>
        <w:shd w:val="clear" w:color="auto" w:fill="FFFFFF"/>
        <w:spacing w:before="30" w:beforeAutospacing="0" w:after="30" w:afterAutospacing="0"/>
        <w:rPr>
          <w:rFonts w:hint="eastAsia"/>
          <w:color w:val="333333"/>
        </w:rPr>
      </w:pPr>
      <w:r>
        <w:rPr>
          <w:rFonts w:hint="eastAsia"/>
          <w:color w:val="333333"/>
        </w:rPr>
        <w:t>各省、自治区、直辖市人民政府，国务院各部委、各直属机构：</w:t>
      </w:r>
    </w:p>
    <w:p w14:paraId="77E133AE"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为进一步优化投资审批权限配置、提升投资服务便利度、强化投资项目全过程监管，着力扩大有效投资，经国务院同意，现就深化投资审批制度改革提出以下意见。</w:t>
      </w:r>
    </w:p>
    <w:p w14:paraId="15888057"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一、优化政府投资项目审批权限配置</w:t>
      </w:r>
    </w:p>
    <w:p w14:paraId="30B05343"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按照权责一致、监督有效并与事权相匹配的原则，优化政府投资项目审批权限，厘清中央政府投资项目审批权限和职责边界。各省级政府综合考虑事权层级、项目性质、资金来源、政府投资能力和监管能力等，完善本地区政府投资项目审批权限规定，合理划分省、市、县级项目审批权限。加强对重点地区和重点领域政府投资项目的提级论证管理，防范地方政府债务风险。</w:t>
      </w:r>
    </w:p>
    <w:p w14:paraId="7776FA04"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二、严格政府投资项目审批管理</w:t>
      </w:r>
    </w:p>
    <w:p w14:paraId="2A627300"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除党中央、国务院有明确要求或者法律法规有明确规定外，政府投资项目均应严格履行项目建议书、可行性研究报告、初步设计和投资概算审批程序。规范实行审批管理的项目范围，对应由政府采取直接投资、资本金注入方式投资和实质性承担偿还责任的项目，严禁通过国有企业等以企业投资项目核准或备案形式规避政府投资项目审批。坚持实事求是、量力而行，强化对项目需求、建设内容、资金筹措方案、运营管理模式等的审核把关。完善项目建设标准和投资概算核定标准体系，强化可行性研究报告审批部门对投资概算的核定管理，严格项目概算约束。项目审批部门要加强对投资咨询评估机构及其专家的一体化管理，避免简单以评估评审意见代替投资决策。实行政府投资项目决策终身负责制，对违规决策造成重大损失、恶劣影响的领导人员和直接责任人员要严肃追究责任。</w:t>
      </w:r>
    </w:p>
    <w:p w14:paraId="1DE2911B"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三、规范企业投资项目核准和备案管理</w:t>
      </w:r>
    </w:p>
    <w:p w14:paraId="17E584F0"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根据投资管理和宏观调控需要，动态修订政府核准的投资项目目录，对关系国家安全、涉及全国重大生产力布局、战略性资源开发和重大公共利益等的企业投资项目实行核准管理。对市场竞争充分、风险可控的领域，在取消或下放项目核准权限前，应明确建设规划、安全管理、技术标准、产业政策等监管要求和监管措施。各省级政府要根据项目性质、市县承接能力等，合理确定本地区企业投资项目核准权限。国家规定由省级政府核准的项目，核准权限不得下放。企业投资的主题公园、大型文化场馆和旅游设施</w:t>
      </w:r>
      <w:proofErr w:type="gramStart"/>
      <w:r>
        <w:rPr>
          <w:rFonts w:hint="eastAsia"/>
          <w:color w:val="333333"/>
        </w:rPr>
        <w:t>等文旅项目</w:t>
      </w:r>
      <w:proofErr w:type="gramEnd"/>
      <w:r>
        <w:rPr>
          <w:rFonts w:hint="eastAsia"/>
          <w:color w:val="333333"/>
        </w:rPr>
        <w:t>，以及公共体育场馆、会展场馆等项目由地市级以上地方政府核准，按照规定由国务院核准的项目，由国家发展改革委审核后报国务院核准。对地方接不住、管不好的领域，要上</w:t>
      </w:r>
      <w:proofErr w:type="gramStart"/>
      <w:r>
        <w:rPr>
          <w:rFonts w:hint="eastAsia"/>
          <w:color w:val="333333"/>
        </w:rPr>
        <w:t>收项目</w:t>
      </w:r>
      <w:proofErr w:type="gramEnd"/>
      <w:r>
        <w:rPr>
          <w:rFonts w:hint="eastAsia"/>
          <w:color w:val="333333"/>
        </w:rPr>
        <w:t>核准权限。推进项目备案信息和备案证明标准化，加强备案信息完整性、产业政策符合性核查。严格限定项目备案信息变更频次，完善长期未开工项目备案撤销机制。</w:t>
      </w:r>
    </w:p>
    <w:p w14:paraId="5B29B3A4"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四、强化企业投资管理政策和产业政策、要素资金管理政策的协同联动</w:t>
      </w:r>
    </w:p>
    <w:p w14:paraId="69DD8D37"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lastRenderedPageBreak/>
        <w:t>根据产业发展阶段、产能监测预警情况等，按权限动态调整企业投资项目核准或备案权限层级，或报国务院同意后将备案管理调整为核准管理。对无序竞争问题突出的产业领域，经国务院同意可实行暂停核准、备案等临时性调控措施，并明确具体要求、时限、操作方式等。强化企业投资项目核准、备案管理政策和要素资金管理政策的协同，对国家禁止建设的项目，依法依规不予提供用地、用海、用能、用水、环评等保障，不得安排政府投资或提供融资支持等。加强要素审批与项目核准权限层级的衔接，除法律法规有明确规定外，项目核准权限上收时，相关要素审批权限同步上收。</w:t>
      </w:r>
    </w:p>
    <w:p w14:paraId="737F73BC"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五、进一步提升投资审批效能</w:t>
      </w:r>
    </w:p>
    <w:p w14:paraId="7B87DDB1"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深入推进“固定资产投资项目审批一件事”，逐步纳入用地、用海、用林、用草、文物保护等事项，实现统一受理、协同高效办理。进一步精简投资项目报建审批事项，对同一部门并联审批的报建事项实行合并办理，并推动整合为一个审批事项。各地方要及时修订完善投资审批事项办事指南，依法明确办理程序、时限、要求，切实解决审批事项互为前置、层层嵌套等问题；强化地方层面重大项目要素保障，优化用地、环评等审批流程。优化建设项目开工许可管理，保障项目依法合</w:t>
      </w:r>
      <w:proofErr w:type="gramStart"/>
      <w:r>
        <w:rPr>
          <w:rFonts w:hint="eastAsia"/>
          <w:color w:val="333333"/>
        </w:rPr>
        <w:t>规</w:t>
      </w:r>
      <w:proofErr w:type="gramEnd"/>
      <w:r>
        <w:rPr>
          <w:rFonts w:hint="eastAsia"/>
          <w:color w:val="333333"/>
        </w:rPr>
        <w:t>建设实施。强化投资审批管理信息系统集约化建设，新增系统建设需求应通过优化拓展投资项目</w:t>
      </w:r>
      <w:proofErr w:type="gramStart"/>
      <w:r>
        <w:rPr>
          <w:rFonts w:hint="eastAsia"/>
          <w:color w:val="333333"/>
        </w:rPr>
        <w:t>在线审批</w:t>
      </w:r>
      <w:proofErr w:type="gramEnd"/>
      <w:r>
        <w:rPr>
          <w:rFonts w:hint="eastAsia"/>
          <w:color w:val="333333"/>
        </w:rPr>
        <w:t>监管平台功能实现，已建相关投资审批管理信息系统应与投资项目</w:t>
      </w:r>
      <w:proofErr w:type="gramStart"/>
      <w:r>
        <w:rPr>
          <w:rFonts w:hint="eastAsia"/>
          <w:color w:val="333333"/>
        </w:rPr>
        <w:t>在线审批</w:t>
      </w:r>
      <w:proofErr w:type="gramEnd"/>
      <w:r>
        <w:rPr>
          <w:rFonts w:hint="eastAsia"/>
          <w:color w:val="333333"/>
        </w:rPr>
        <w:t>监管平台实现互联互通。制定投资管理数据共享标准，依托固定资产投资项目代码实现项目基本信息、审批信息、建设实施信息、资金支付信息等常态化共享。</w:t>
      </w:r>
    </w:p>
    <w:p w14:paraId="2650CCCF"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六、规范项目招标投标管理</w:t>
      </w:r>
    </w:p>
    <w:p w14:paraId="04CDDE45"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推动修订招标投标法，强化制度刚性约束。加强项目招标事项审核把关，督促项目单位科学合理确定项目招标范围、方式、组织形式并严格执行。项目单位要综合考虑项目全生命周期成本、运营维护、质量安全等因素，科学确定评标方法、设置评标标准，避免投标企业低价无序竞争。深化招标投标领域</w:t>
      </w:r>
      <w:proofErr w:type="gramStart"/>
      <w:r>
        <w:rPr>
          <w:rFonts w:hint="eastAsia"/>
          <w:color w:val="333333"/>
        </w:rPr>
        <w:t>数智技术</w:t>
      </w:r>
      <w:proofErr w:type="gramEnd"/>
      <w:r>
        <w:rPr>
          <w:rFonts w:hint="eastAsia"/>
          <w:color w:val="333333"/>
        </w:rPr>
        <w:t>应用，大力推广网络远程异地评标。对交通、能源、水利等领域经营性项目积极推行项目法人招标。行业主管部门要落实招标投标分业监管主体责任，严厉打击规避招标、</w:t>
      </w:r>
      <w:proofErr w:type="gramStart"/>
      <w:r>
        <w:rPr>
          <w:rFonts w:hint="eastAsia"/>
          <w:color w:val="333333"/>
        </w:rPr>
        <w:t>围标串标</w:t>
      </w:r>
      <w:proofErr w:type="gramEnd"/>
      <w:r>
        <w:rPr>
          <w:rFonts w:hint="eastAsia"/>
          <w:color w:val="333333"/>
        </w:rPr>
        <w:t>、弄虚作假等违法违规行为。</w:t>
      </w:r>
    </w:p>
    <w:p w14:paraId="68D4B1F7"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七、加强项目建设实施管理</w:t>
      </w:r>
    </w:p>
    <w:p w14:paraId="42BC33B6"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完善投资项目建设实施信息填报制度，项目审批（核准、备案）机关应督促指导项目单位履行信息填报义务；项目单位应依法依规通过投资项目</w:t>
      </w:r>
      <w:proofErr w:type="gramStart"/>
      <w:r>
        <w:rPr>
          <w:rFonts w:hint="eastAsia"/>
          <w:color w:val="333333"/>
        </w:rPr>
        <w:t>在线审批</w:t>
      </w:r>
      <w:proofErr w:type="gramEnd"/>
      <w:r>
        <w:rPr>
          <w:rFonts w:hint="eastAsia"/>
          <w:color w:val="333333"/>
        </w:rPr>
        <w:t>监管平台及时如实报送项目开工、建设、竣工等信息，作为各级投资主管部门、行业主管部门等加强项目监管、投资调控、行业管理的重要依据。依法依规将不及时如实报送项目信息等行为纳入企业信用记录，通过“信用中国”网站向社会公示，并实施联合惩戒。完善政府投资项目验收制度，确保项目完成批复建设内容并符合工程质量管理等要求。推行非经营性政府投资项目代建制，通过竞争方式选择专业机构负责项目建设实施。</w:t>
      </w:r>
    </w:p>
    <w:p w14:paraId="4918A4EF"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八、压实项目全过程监管责任</w:t>
      </w:r>
    </w:p>
    <w:p w14:paraId="517C3A2B"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按照“谁审批谁监管、谁主管谁监管”的原则，厘清项目监管责任。投资主管部门履行综合监管责任，通过开展项目抽查检查、编制投资监管报告等方式，会同有关部门加大对违法违规审批（核准）、批建不符、政府投资项目</w:t>
      </w:r>
      <w:proofErr w:type="gramStart"/>
      <w:r>
        <w:rPr>
          <w:rFonts w:hint="eastAsia"/>
          <w:color w:val="333333"/>
        </w:rPr>
        <w:t>违规超</w:t>
      </w:r>
      <w:proofErr w:type="gramEnd"/>
      <w:r>
        <w:rPr>
          <w:rFonts w:hint="eastAsia"/>
          <w:color w:val="333333"/>
        </w:rPr>
        <w:t>概算等问题的监督检查力度，强化监管震慑和问题督促整改。行业主管部门履行行业监管责任，加强对本行业领域项目的监督检查。地方政府有关部门</w:t>
      </w:r>
      <w:r>
        <w:rPr>
          <w:rFonts w:hint="eastAsia"/>
          <w:color w:val="333333"/>
        </w:rPr>
        <w:lastRenderedPageBreak/>
        <w:t>履行属地监管责任，发挥好就近就便监管作用。加强项目监管统筹和监管信息共享，避免重复检查，切实减轻基层负担。</w:t>
      </w:r>
    </w:p>
    <w:p w14:paraId="25D05931"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九、健全投资项目评价体系</w:t>
      </w:r>
    </w:p>
    <w:p w14:paraId="44FA70E9"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建立与高质量发展要求相适应的投资项目决策综合评价和绩效评价制度，有效支撑投资决策和项目管理。立足项目全生命周期管理，坚持定性和定量相结合，建立健全以规划政策符合性、建设方案可行性、资源投入产出经济性、运营可持续性等为重点，涵盖经济、社会、生态、安全等方面效益的投资项目决策综合评价标准规范。完善政府投资项目绩效评价制度规范，加强对项目需求和建设目标实现情况的评价。强化项目后评价结果运用，作为规划制定、投资决策、项目管理等的参考依据。</w:t>
      </w:r>
    </w:p>
    <w:p w14:paraId="56CA78C1" w14:textId="77777777" w:rsidR="00030AC0" w:rsidRDefault="00030AC0" w:rsidP="00030AC0">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十、增进改革协同衔接</w:t>
      </w:r>
    </w:p>
    <w:p w14:paraId="30876359"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加强投资审批制度改革与项目投融资机制改革、重点</w:t>
      </w:r>
      <w:proofErr w:type="gramStart"/>
      <w:r>
        <w:rPr>
          <w:rFonts w:hint="eastAsia"/>
          <w:color w:val="333333"/>
        </w:rPr>
        <w:t>领域价</w:t>
      </w:r>
      <w:proofErr w:type="gramEnd"/>
      <w:r>
        <w:rPr>
          <w:rFonts w:hint="eastAsia"/>
          <w:color w:val="333333"/>
        </w:rPr>
        <w:t>费改革等的协同配合，更好发挥叠加效应。推进基础设施竞争性领域向各类经营主体公平开放，支持民营企业参与国家重大项目建设，进一步激发民间投资活力。依托投资项目</w:t>
      </w:r>
      <w:proofErr w:type="gramStart"/>
      <w:r>
        <w:rPr>
          <w:rFonts w:hint="eastAsia"/>
          <w:color w:val="333333"/>
        </w:rPr>
        <w:t>在线审批</w:t>
      </w:r>
      <w:proofErr w:type="gramEnd"/>
      <w:r>
        <w:rPr>
          <w:rFonts w:hint="eastAsia"/>
          <w:color w:val="333333"/>
        </w:rPr>
        <w:t>监管平台打造国家投融资综合服务平台，促进项目投融资联动，提升项目融资便利化水平。创新经营性项目投融资模式，拓宽权益型、股权类融资渠道，通过发行基础设施领域不动产投资信托基金（REITs）等方式积极盘活存量资产。进一步健全基础设施和公用事业价费机制，保障项目可持续运行。</w:t>
      </w:r>
    </w:p>
    <w:p w14:paraId="54FB2200" w14:textId="77777777" w:rsidR="00030AC0" w:rsidRDefault="00030AC0" w:rsidP="00030AC0">
      <w:pPr>
        <w:pStyle w:val="ae"/>
        <w:shd w:val="clear" w:color="auto" w:fill="FFFFFF"/>
        <w:spacing w:before="30" w:beforeAutospacing="0" w:after="30" w:afterAutospacing="0"/>
        <w:ind w:firstLine="480"/>
        <w:rPr>
          <w:rFonts w:hint="eastAsia"/>
          <w:color w:val="333333"/>
        </w:rPr>
      </w:pPr>
      <w:r>
        <w:rPr>
          <w:rFonts w:hint="eastAsia"/>
          <w:color w:val="333333"/>
        </w:rPr>
        <w:t>各地区、各有关部门要按照职责分工抓好本意</w:t>
      </w:r>
      <w:proofErr w:type="gramStart"/>
      <w:r>
        <w:rPr>
          <w:rFonts w:hint="eastAsia"/>
          <w:color w:val="333333"/>
        </w:rPr>
        <w:t>见贯彻</w:t>
      </w:r>
      <w:proofErr w:type="gramEnd"/>
      <w:r>
        <w:rPr>
          <w:rFonts w:hint="eastAsia"/>
          <w:color w:val="333333"/>
        </w:rPr>
        <w:t>落实，强化协同配合，形成工作合力，共同推动改革措施落地见效。国务院投资主管部门要加强统筹协调指导，按程序修订完善政府投资项目审批权限规定和政府核准的投资项目目录，对违法违规增设投资审批环节、评估评审事项等予以清理规范。重大事项及时按程序请示报告。</w:t>
      </w:r>
    </w:p>
    <w:p w14:paraId="41543D94" w14:textId="77777777" w:rsidR="00030AC0" w:rsidRDefault="00030AC0" w:rsidP="00030AC0">
      <w:pPr>
        <w:pStyle w:val="ae"/>
        <w:shd w:val="clear" w:color="auto" w:fill="FFFFFF"/>
        <w:spacing w:before="0" w:beforeAutospacing="0" w:after="0" w:afterAutospacing="0"/>
        <w:jc w:val="right"/>
        <w:rPr>
          <w:rFonts w:hint="eastAsia"/>
          <w:color w:val="333333"/>
        </w:rPr>
      </w:pPr>
      <w:r>
        <w:rPr>
          <w:rFonts w:hint="eastAsia"/>
          <w:color w:val="333333"/>
        </w:rPr>
        <w:t>国务院办公厅</w:t>
      </w:r>
      <w:r>
        <w:rPr>
          <w:rFonts w:ascii="Arial" w:hAnsi="Arial" w:cs="Arial"/>
          <w:color w:val="333333"/>
          <w:bdr w:val="none" w:sz="0" w:space="0" w:color="auto" w:frame="1"/>
        </w:rPr>
        <w:t xml:space="preserve">　</w:t>
      </w:r>
      <w:r>
        <w:rPr>
          <w:rFonts w:ascii="Arial" w:hAnsi="Arial" w:cs="Arial"/>
          <w:color w:val="333333"/>
          <w:bdr w:val="none" w:sz="0" w:space="0" w:color="auto" w:frame="1"/>
        </w:rPr>
        <w:t> </w:t>
      </w:r>
      <w:r>
        <w:rPr>
          <w:rFonts w:ascii="Arial" w:hAnsi="Arial" w:cs="Arial"/>
          <w:color w:val="333333"/>
          <w:bdr w:val="none" w:sz="0" w:space="0" w:color="auto" w:frame="1"/>
        </w:rPr>
        <w:t> </w:t>
      </w:r>
      <w:r>
        <w:rPr>
          <w:rFonts w:ascii="Arial" w:hAnsi="Arial" w:cs="Arial"/>
          <w:color w:val="333333"/>
          <w:bdr w:val="none" w:sz="0" w:space="0" w:color="auto" w:frame="1"/>
        </w:rPr>
        <w:t xml:space="preserve">　</w:t>
      </w:r>
      <w:r>
        <w:rPr>
          <w:rFonts w:ascii="Arial" w:hAnsi="Arial" w:cs="Arial"/>
          <w:color w:val="333333"/>
          <w:bdr w:val="none" w:sz="0" w:space="0" w:color="auto" w:frame="1"/>
        </w:rPr>
        <w:t> </w:t>
      </w:r>
      <w:r>
        <w:rPr>
          <w:rFonts w:ascii="Arial" w:hAnsi="Arial" w:cs="Arial"/>
          <w:color w:val="333333"/>
          <w:bdr w:val="none" w:sz="0" w:space="0" w:color="auto" w:frame="1"/>
        </w:rPr>
        <w:t> </w:t>
      </w:r>
      <w:r>
        <w:rPr>
          <w:rFonts w:ascii="Arial" w:hAnsi="Arial" w:cs="Arial"/>
          <w:color w:val="333333"/>
          <w:bdr w:val="none" w:sz="0" w:space="0" w:color="auto" w:frame="1"/>
        </w:rPr>
        <w:t> </w:t>
      </w:r>
      <w:r>
        <w:rPr>
          <w:rFonts w:ascii="Arial" w:hAnsi="Arial" w:cs="Arial"/>
          <w:color w:val="333333"/>
          <w:bdr w:val="none" w:sz="0" w:space="0" w:color="auto" w:frame="1"/>
        </w:rPr>
        <w:t> </w:t>
      </w:r>
    </w:p>
    <w:p w14:paraId="57CB3FF7" w14:textId="77777777" w:rsidR="00030AC0" w:rsidRDefault="00030AC0" w:rsidP="00030AC0">
      <w:pPr>
        <w:pStyle w:val="ae"/>
        <w:shd w:val="clear" w:color="auto" w:fill="FFFFFF"/>
        <w:spacing w:before="30" w:beforeAutospacing="0" w:after="30" w:afterAutospacing="0"/>
        <w:jc w:val="right"/>
        <w:rPr>
          <w:rFonts w:hint="eastAsia"/>
          <w:color w:val="333333"/>
        </w:rPr>
      </w:pPr>
      <w:r>
        <w:rPr>
          <w:rFonts w:hint="eastAsia"/>
          <w:color w:val="333333"/>
        </w:rPr>
        <w:t>2026年4月8日</w:t>
      </w:r>
      <w:r>
        <w:rPr>
          <w:rFonts w:hint="eastAsia"/>
          <w:color w:val="333333"/>
        </w:rPr>
        <w:t> </w:t>
      </w:r>
      <w:r>
        <w:rPr>
          <w:rFonts w:hint="eastAsia"/>
          <w:color w:val="333333"/>
        </w:rPr>
        <w:t> </w:t>
      </w:r>
      <w:r>
        <w:rPr>
          <w:rFonts w:hint="eastAsia"/>
          <w:color w:val="333333"/>
        </w:rPr>
        <w:t> </w:t>
      </w:r>
      <w:r>
        <w:rPr>
          <w:rFonts w:hint="eastAsia"/>
          <w:color w:val="333333"/>
        </w:rPr>
        <w:t> </w:t>
      </w:r>
      <w:r>
        <w:rPr>
          <w:rFonts w:hint="eastAsia"/>
          <w:color w:val="333333"/>
        </w:rPr>
        <w:t> </w:t>
      </w:r>
    </w:p>
    <w:p w14:paraId="612CCF9E" w14:textId="77777777" w:rsidR="00D230FC" w:rsidRDefault="00D230FC">
      <w:pPr>
        <w:rPr>
          <w:rFonts w:hint="eastAsia"/>
        </w:rPr>
      </w:pPr>
    </w:p>
    <w:sectPr w:rsidR="00D230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AC0"/>
    <w:rsid w:val="00030AC0"/>
    <w:rsid w:val="00243CAC"/>
    <w:rsid w:val="00D230FC"/>
    <w:rsid w:val="00D25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A7AA5"/>
  <w15:chartTrackingRefBased/>
  <w15:docId w15:val="{09E662A0-D8FA-48FB-B4B2-F7D87165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0AC0"/>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30AC0"/>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30AC0"/>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30AC0"/>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30AC0"/>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030AC0"/>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30AC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30AC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30AC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30AC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30AC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30AC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30AC0"/>
    <w:rPr>
      <w:rFonts w:cstheme="majorBidi"/>
      <w:color w:val="2F5496" w:themeColor="accent1" w:themeShade="BF"/>
      <w:sz w:val="28"/>
      <w:szCs w:val="28"/>
    </w:rPr>
  </w:style>
  <w:style w:type="character" w:customStyle="1" w:styleId="50">
    <w:name w:val="标题 5 字符"/>
    <w:basedOn w:val="a0"/>
    <w:link w:val="5"/>
    <w:uiPriority w:val="9"/>
    <w:semiHidden/>
    <w:rsid w:val="00030AC0"/>
    <w:rPr>
      <w:rFonts w:cstheme="majorBidi"/>
      <w:color w:val="2F5496" w:themeColor="accent1" w:themeShade="BF"/>
      <w:sz w:val="24"/>
      <w:szCs w:val="24"/>
    </w:rPr>
  </w:style>
  <w:style w:type="character" w:customStyle="1" w:styleId="60">
    <w:name w:val="标题 6 字符"/>
    <w:basedOn w:val="a0"/>
    <w:link w:val="6"/>
    <w:uiPriority w:val="9"/>
    <w:semiHidden/>
    <w:rsid w:val="00030AC0"/>
    <w:rPr>
      <w:rFonts w:cstheme="majorBidi"/>
      <w:b/>
      <w:bCs/>
      <w:color w:val="2F5496" w:themeColor="accent1" w:themeShade="BF"/>
    </w:rPr>
  </w:style>
  <w:style w:type="character" w:customStyle="1" w:styleId="70">
    <w:name w:val="标题 7 字符"/>
    <w:basedOn w:val="a0"/>
    <w:link w:val="7"/>
    <w:uiPriority w:val="9"/>
    <w:semiHidden/>
    <w:rsid w:val="00030AC0"/>
    <w:rPr>
      <w:rFonts w:cstheme="majorBidi"/>
      <w:b/>
      <w:bCs/>
      <w:color w:val="595959" w:themeColor="text1" w:themeTint="A6"/>
    </w:rPr>
  </w:style>
  <w:style w:type="character" w:customStyle="1" w:styleId="80">
    <w:name w:val="标题 8 字符"/>
    <w:basedOn w:val="a0"/>
    <w:link w:val="8"/>
    <w:uiPriority w:val="9"/>
    <w:semiHidden/>
    <w:rsid w:val="00030AC0"/>
    <w:rPr>
      <w:rFonts w:cstheme="majorBidi"/>
      <w:color w:val="595959" w:themeColor="text1" w:themeTint="A6"/>
    </w:rPr>
  </w:style>
  <w:style w:type="character" w:customStyle="1" w:styleId="90">
    <w:name w:val="标题 9 字符"/>
    <w:basedOn w:val="a0"/>
    <w:link w:val="9"/>
    <w:uiPriority w:val="9"/>
    <w:semiHidden/>
    <w:rsid w:val="00030AC0"/>
    <w:rPr>
      <w:rFonts w:eastAsiaTheme="majorEastAsia" w:cstheme="majorBidi"/>
      <w:color w:val="595959" w:themeColor="text1" w:themeTint="A6"/>
    </w:rPr>
  </w:style>
  <w:style w:type="paragraph" w:styleId="a3">
    <w:name w:val="Title"/>
    <w:basedOn w:val="a"/>
    <w:next w:val="a"/>
    <w:link w:val="a4"/>
    <w:uiPriority w:val="10"/>
    <w:qFormat/>
    <w:rsid w:val="00030AC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30A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0AC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30AC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30AC0"/>
    <w:pPr>
      <w:spacing w:before="160" w:after="160"/>
      <w:jc w:val="center"/>
    </w:pPr>
    <w:rPr>
      <w:i/>
      <w:iCs/>
      <w:color w:val="404040" w:themeColor="text1" w:themeTint="BF"/>
    </w:rPr>
  </w:style>
  <w:style w:type="character" w:customStyle="1" w:styleId="a8">
    <w:name w:val="引用 字符"/>
    <w:basedOn w:val="a0"/>
    <w:link w:val="a7"/>
    <w:uiPriority w:val="29"/>
    <w:rsid w:val="00030AC0"/>
    <w:rPr>
      <w:i/>
      <w:iCs/>
      <w:color w:val="404040" w:themeColor="text1" w:themeTint="BF"/>
    </w:rPr>
  </w:style>
  <w:style w:type="paragraph" w:styleId="a9">
    <w:name w:val="List Paragraph"/>
    <w:basedOn w:val="a"/>
    <w:uiPriority w:val="34"/>
    <w:qFormat/>
    <w:rsid w:val="00030AC0"/>
    <w:pPr>
      <w:ind w:left="720"/>
      <w:contextualSpacing/>
    </w:pPr>
  </w:style>
  <w:style w:type="character" w:styleId="aa">
    <w:name w:val="Intense Emphasis"/>
    <w:basedOn w:val="a0"/>
    <w:uiPriority w:val="21"/>
    <w:qFormat/>
    <w:rsid w:val="00030AC0"/>
    <w:rPr>
      <w:i/>
      <w:iCs/>
      <w:color w:val="2F5496" w:themeColor="accent1" w:themeShade="BF"/>
    </w:rPr>
  </w:style>
  <w:style w:type="paragraph" w:styleId="ab">
    <w:name w:val="Intense Quote"/>
    <w:basedOn w:val="a"/>
    <w:next w:val="a"/>
    <w:link w:val="ac"/>
    <w:uiPriority w:val="30"/>
    <w:qFormat/>
    <w:rsid w:val="00030A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30AC0"/>
    <w:rPr>
      <w:i/>
      <w:iCs/>
      <w:color w:val="2F5496" w:themeColor="accent1" w:themeShade="BF"/>
    </w:rPr>
  </w:style>
  <w:style w:type="character" w:styleId="ad">
    <w:name w:val="Intense Reference"/>
    <w:basedOn w:val="a0"/>
    <w:uiPriority w:val="32"/>
    <w:qFormat/>
    <w:rsid w:val="00030AC0"/>
    <w:rPr>
      <w:b/>
      <w:bCs/>
      <w:smallCaps/>
      <w:color w:val="2F5496" w:themeColor="accent1" w:themeShade="BF"/>
      <w:spacing w:val="5"/>
    </w:rPr>
  </w:style>
  <w:style w:type="paragraph" w:styleId="ae">
    <w:name w:val="Normal (Web)"/>
    <w:basedOn w:val="a"/>
    <w:uiPriority w:val="99"/>
    <w:semiHidden/>
    <w:unhideWhenUsed/>
    <w:rsid w:val="00030AC0"/>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030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473</Words>
  <Characters>2697</Characters>
  <Application>Microsoft Office Word</Application>
  <DocSecurity>0</DocSecurity>
  <Lines>22</Lines>
  <Paragraphs>6</Paragraphs>
  <ScaleCrop>false</ScaleCrop>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2026-04-27T07:54:00Z</dcterms:created>
  <dcterms:modified xsi:type="dcterms:W3CDTF">2026-04-27T07:55:00Z</dcterms:modified>
</cp:coreProperties>
</file>