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4AA4B" w14:textId="0DE28E19" w:rsidR="00D230FC" w:rsidRPr="0052529F" w:rsidRDefault="0052529F" w:rsidP="0052529F">
      <w:pPr>
        <w:jc w:val="center"/>
        <w:rPr>
          <w:rStyle w:val="ae"/>
          <w:rFonts w:ascii="黑体" w:eastAsia="黑体" w:hAnsi="黑体"/>
          <w:b w:val="0"/>
          <w:bCs w:val="0"/>
          <w:color w:val="000000"/>
          <w:sz w:val="36"/>
          <w:szCs w:val="36"/>
        </w:rPr>
      </w:pPr>
      <w:r w:rsidRPr="0052529F">
        <w:rPr>
          <w:rStyle w:val="ae"/>
          <w:rFonts w:ascii="黑体" w:eastAsia="黑体" w:hAnsi="黑体" w:hint="eastAsia"/>
          <w:b w:val="0"/>
          <w:bCs w:val="0"/>
          <w:color w:val="000000"/>
          <w:sz w:val="36"/>
          <w:szCs w:val="36"/>
        </w:rPr>
        <w:t>山东省生态环境厅关于进一步优化环境影响评价工作的实施意见</w:t>
      </w:r>
    </w:p>
    <w:p w14:paraId="0B1DA956" w14:textId="77777777" w:rsidR="0052529F" w:rsidRDefault="0052529F" w:rsidP="0052529F">
      <w:pPr>
        <w:pStyle w:val="af"/>
        <w:spacing w:line="480" w:lineRule="atLeast"/>
        <w:ind w:firstLine="480"/>
        <w:jc w:val="both"/>
        <w:rPr>
          <w:rFonts w:ascii="仿宋" w:eastAsia="仿宋" w:hAnsi="仿宋"/>
          <w:sz w:val="36"/>
          <w:szCs w:val="36"/>
        </w:rPr>
      </w:pPr>
      <w:r>
        <w:rPr>
          <w:rFonts w:ascii="仿宋" w:eastAsia="仿宋" w:hAnsi="仿宋" w:hint="eastAsia"/>
          <w:color w:val="333333"/>
          <w:sz w:val="36"/>
          <w:szCs w:val="36"/>
        </w:rPr>
        <w:t>各市生态环境局、有关市行政审批服务局：</w:t>
      </w:r>
    </w:p>
    <w:p w14:paraId="0BF61160"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为认真贯彻落实生态环境部《关于进一步优化环境影响评价工作的意见》（环环评〔2023〕52号），着力强化环评要素保障，持续深化环</w:t>
      </w:r>
      <w:proofErr w:type="gramStart"/>
      <w:r>
        <w:rPr>
          <w:rFonts w:ascii="仿宋" w:eastAsia="仿宋" w:hAnsi="仿宋" w:hint="eastAsia"/>
          <w:color w:val="333333"/>
          <w:sz w:val="36"/>
          <w:szCs w:val="36"/>
        </w:rPr>
        <w:t>评制度</w:t>
      </w:r>
      <w:proofErr w:type="gramEnd"/>
      <w:r>
        <w:rPr>
          <w:rFonts w:ascii="仿宋" w:eastAsia="仿宋" w:hAnsi="仿宋" w:hint="eastAsia"/>
          <w:color w:val="333333"/>
          <w:sz w:val="36"/>
          <w:szCs w:val="36"/>
        </w:rPr>
        <w:t>改革，以生态环境高水平保护支撑经济社会高质量发展，制定如下实施意见。</w:t>
      </w:r>
    </w:p>
    <w:p w14:paraId="7A054E23"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一、总体要求</w:t>
      </w:r>
    </w:p>
    <w:p w14:paraId="389392BF"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以习近平新时代中国特色社会主义思想为指导，深入学习贯彻习近平生态文明思想，立足新发展阶段，贯彻新发展理念，服务构建新发展格局，紧紧围绕“加强联动、提升效能”“完善流程、保障发展”“绿色引领、守牢底线”“严格监管、注重实效”的工作原则，坚持综合治理、系统治理、源头治理，深入推进生态环境分区管控、环境影响评价、排污许可、执法监督等制度有机衔接，协同推进经济社会高质量发展和生态环境高水平保护。到2025年，规划环评与</w:t>
      </w:r>
      <w:proofErr w:type="gramStart"/>
      <w:r>
        <w:rPr>
          <w:rFonts w:ascii="仿宋" w:eastAsia="仿宋" w:hAnsi="仿宋" w:hint="eastAsia"/>
          <w:color w:val="333333"/>
          <w:sz w:val="36"/>
          <w:szCs w:val="36"/>
        </w:rPr>
        <w:t>项目环</w:t>
      </w:r>
      <w:proofErr w:type="gramEnd"/>
      <w:r>
        <w:rPr>
          <w:rFonts w:ascii="仿宋" w:eastAsia="仿宋" w:hAnsi="仿宋" w:hint="eastAsia"/>
          <w:color w:val="333333"/>
          <w:sz w:val="36"/>
          <w:szCs w:val="36"/>
        </w:rPr>
        <w:t>评联动、环</w:t>
      </w:r>
      <w:proofErr w:type="gramStart"/>
      <w:r>
        <w:rPr>
          <w:rFonts w:ascii="仿宋" w:eastAsia="仿宋" w:hAnsi="仿宋" w:hint="eastAsia"/>
          <w:color w:val="333333"/>
          <w:sz w:val="36"/>
          <w:szCs w:val="36"/>
        </w:rPr>
        <w:t>评审批与排污</w:t>
      </w:r>
      <w:proofErr w:type="gramEnd"/>
      <w:r>
        <w:rPr>
          <w:rFonts w:ascii="仿宋" w:eastAsia="仿宋" w:hAnsi="仿宋" w:hint="eastAsia"/>
          <w:color w:val="333333"/>
          <w:sz w:val="36"/>
          <w:szCs w:val="36"/>
        </w:rPr>
        <w:t>许可证核发一体化办理等改革试点任务总体完成，制度衔接更加顺畅，服务效</w:t>
      </w:r>
      <w:r>
        <w:rPr>
          <w:rFonts w:ascii="仿宋" w:eastAsia="仿宋" w:hAnsi="仿宋" w:hint="eastAsia"/>
          <w:color w:val="333333"/>
          <w:sz w:val="36"/>
          <w:szCs w:val="36"/>
        </w:rPr>
        <w:lastRenderedPageBreak/>
        <w:t>能不断增强。到2027年，试点成果规范化、制度化取得积极进展，制度合力进一步发挥，源头预防作用进一步提升，守好绿水青山的第一道防线。</w:t>
      </w:r>
      <w:r>
        <w:rPr>
          <w:rFonts w:ascii="仿宋" w:eastAsia="仿宋" w:hAnsi="仿宋" w:hint="eastAsia"/>
          <w:color w:val="333333"/>
          <w:sz w:val="36"/>
          <w:szCs w:val="36"/>
        </w:rPr>
        <w:t> </w:t>
      </w:r>
    </w:p>
    <w:p w14:paraId="107170F2"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二、强化制度衔接联动</w:t>
      </w:r>
    </w:p>
    <w:p w14:paraId="6B06B94C"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（一）深入推进生态环境分区管控。加快推进生态环境分区管</w:t>
      </w:r>
      <w:proofErr w:type="gramStart"/>
      <w:r>
        <w:rPr>
          <w:rFonts w:ascii="仿宋" w:eastAsia="仿宋" w:hAnsi="仿宋" w:hint="eastAsia"/>
          <w:color w:val="333333"/>
          <w:sz w:val="36"/>
          <w:szCs w:val="36"/>
        </w:rPr>
        <w:t>控成果</w:t>
      </w:r>
      <w:proofErr w:type="gramEnd"/>
      <w:r>
        <w:rPr>
          <w:rFonts w:ascii="仿宋" w:eastAsia="仿宋" w:hAnsi="仿宋" w:hint="eastAsia"/>
          <w:color w:val="333333"/>
          <w:sz w:val="36"/>
          <w:szCs w:val="36"/>
        </w:rPr>
        <w:t>数字化管理，强化共享共用。各市要充分利用生态环境分区管</w:t>
      </w:r>
      <w:proofErr w:type="gramStart"/>
      <w:r>
        <w:rPr>
          <w:rFonts w:ascii="仿宋" w:eastAsia="仿宋" w:hAnsi="仿宋" w:hint="eastAsia"/>
          <w:color w:val="333333"/>
          <w:sz w:val="36"/>
          <w:szCs w:val="36"/>
        </w:rPr>
        <w:t>控信息</w:t>
      </w:r>
      <w:proofErr w:type="gramEnd"/>
      <w:r>
        <w:rPr>
          <w:rFonts w:ascii="仿宋" w:eastAsia="仿宋" w:hAnsi="仿宋" w:hint="eastAsia"/>
          <w:color w:val="333333"/>
          <w:sz w:val="36"/>
          <w:szCs w:val="36"/>
        </w:rPr>
        <w:t>平台，发挥生态环境分区管控在环境准入</w:t>
      </w:r>
      <w:proofErr w:type="gramStart"/>
      <w:r>
        <w:rPr>
          <w:rFonts w:ascii="仿宋" w:eastAsia="仿宋" w:hAnsi="仿宋" w:hint="eastAsia"/>
          <w:color w:val="333333"/>
          <w:sz w:val="36"/>
          <w:szCs w:val="36"/>
        </w:rPr>
        <w:t>研</w:t>
      </w:r>
      <w:proofErr w:type="gramEnd"/>
      <w:r>
        <w:rPr>
          <w:rFonts w:ascii="仿宋" w:eastAsia="仿宋" w:hAnsi="仿宋" w:hint="eastAsia"/>
          <w:color w:val="333333"/>
          <w:sz w:val="36"/>
          <w:szCs w:val="36"/>
        </w:rPr>
        <w:t>判、选址选线环境合理性分析等的指导作用，服务规划编制和项目招商引资等科学决策。持续推进生态环境分区管</w:t>
      </w:r>
      <w:proofErr w:type="gramStart"/>
      <w:r>
        <w:rPr>
          <w:rFonts w:ascii="仿宋" w:eastAsia="仿宋" w:hAnsi="仿宋" w:hint="eastAsia"/>
          <w:color w:val="333333"/>
          <w:sz w:val="36"/>
          <w:szCs w:val="36"/>
        </w:rPr>
        <w:t>控信息</w:t>
      </w:r>
      <w:proofErr w:type="gramEnd"/>
      <w:r>
        <w:rPr>
          <w:rFonts w:ascii="仿宋" w:eastAsia="仿宋" w:hAnsi="仿宋" w:hint="eastAsia"/>
          <w:color w:val="333333"/>
          <w:sz w:val="36"/>
          <w:szCs w:val="36"/>
        </w:rPr>
        <w:t>平台建设，面向企业、公众和第三方技术机构共享生态环境分区管</w:t>
      </w:r>
      <w:proofErr w:type="gramStart"/>
      <w:r>
        <w:rPr>
          <w:rFonts w:ascii="仿宋" w:eastAsia="仿宋" w:hAnsi="仿宋" w:hint="eastAsia"/>
          <w:color w:val="333333"/>
          <w:sz w:val="36"/>
          <w:szCs w:val="36"/>
        </w:rPr>
        <w:t>控相关</w:t>
      </w:r>
      <w:proofErr w:type="gramEnd"/>
      <w:r>
        <w:rPr>
          <w:rFonts w:ascii="仿宋" w:eastAsia="仿宋" w:hAnsi="仿宋" w:hint="eastAsia"/>
          <w:color w:val="333333"/>
          <w:sz w:val="36"/>
          <w:szCs w:val="36"/>
        </w:rPr>
        <w:t>成果。</w:t>
      </w:r>
    </w:p>
    <w:p w14:paraId="7BFF7A16"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（二）以生态环境分区管</w:t>
      </w:r>
      <w:proofErr w:type="gramStart"/>
      <w:r>
        <w:rPr>
          <w:rFonts w:ascii="仿宋" w:eastAsia="仿宋" w:hAnsi="仿宋" w:hint="eastAsia"/>
          <w:color w:val="333333"/>
          <w:sz w:val="36"/>
          <w:szCs w:val="36"/>
        </w:rPr>
        <w:t>控成果</w:t>
      </w:r>
      <w:proofErr w:type="gramEnd"/>
      <w:r>
        <w:rPr>
          <w:rFonts w:ascii="仿宋" w:eastAsia="仿宋" w:hAnsi="仿宋" w:hint="eastAsia"/>
          <w:color w:val="333333"/>
          <w:sz w:val="36"/>
          <w:szCs w:val="36"/>
        </w:rPr>
        <w:t>优化产业园区规划环评。产业园区规划</w:t>
      </w:r>
      <w:proofErr w:type="gramStart"/>
      <w:r>
        <w:rPr>
          <w:rFonts w:ascii="仿宋" w:eastAsia="仿宋" w:hAnsi="仿宋" w:hint="eastAsia"/>
          <w:color w:val="333333"/>
          <w:sz w:val="36"/>
          <w:szCs w:val="36"/>
        </w:rPr>
        <w:t>环评要充分</w:t>
      </w:r>
      <w:proofErr w:type="gramEnd"/>
      <w:r>
        <w:rPr>
          <w:rFonts w:ascii="仿宋" w:eastAsia="仿宋" w:hAnsi="仿宋" w:hint="eastAsia"/>
          <w:color w:val="333333"/>
          <w:sz w:val="36"/>
          <w:szCs w:val="36"/>
        </w:rPr>
        <w:t>利用生态环境分区管控成果，简化与成果中已包含的法律法规、政策及产业发展等相关规划的符合性与协调性分析。充分衔接生态环境分区管</w:t>
      </w:r>
      <w:proofErr w:type="gramStart"/>
      <w:r>
        <w:rPr>
          <w:rFonts w:ascii="仿宋" w:eastAsia="仿宋" w:hAnsi="仿宋" w:hint="eastAsia"/>
          <w:color w:val="333333"/>
          <w:sz w:val="36"/>
          <w:szCs w:val="36"/>
        </w:rPr>
        <w:t>控成果</w:t>
      </w:r>
      <w:proofErr w:type="gramEnd"/>
      <w:r>
        <w:rPr>
          <w:rFonts w:ascii="仿宋" w:eastAsia="仿宋" w:hAnsi="仿宋" w:hint="eastAsia"/>
          <w:color w:val="333333"/>
          <w:sz w:val="36"/>
          <w:szCs w:val="36"/>
        </w:rPr>
        <w:t>关于区域、流域、海域重大生态环境问题识别和制约因素分析、资源与环境承载力分析等内容，优化细化规划区域的生态环境问题与资源环境承载能力评价。加强对产业园区环境质量现状和变化趋势、污染物减</w:t>
      </w:r>
      <w:proofErr w:type="gramStart"/>
      <w:r>
        <w:rPr>
          <w:rFonts w:ascii="仿宋" w:eastAsia="仿宋" w:hAnsi="仿宋" w:hint="eastAsia"/>
          <w:color w:val="333333"/>
          <w:sz w:val="36"/>
          <w:szCs w:val="36"/>
        </w:rPr>
        <w:t>排潜力</w:t>
      </w:r>
      <w:proofErr w:type="gramEnd"/>
      <w:r>
        <w:rPr>
          <w:rFonts w:ascii="仿宋" w:eastAsia="仿宋" w:hAnsi="仿宋" w:hint="eastAsia"/>
          <w:color w:val="333333"/>
          <w:sz w:val="36"/>
          <w:szCs w:val="36"/>
        </w:rPr>
        <w:t>和总量控制、环保基础</w:t>
      </w:r>
      <w:r>
        <w:rPr>
          <w:rFonts w:ascii="仿宋" w:eastAsia="仿宋" w:hAnsi="仿宋" w:hint="eastAsia"/>
          <w:color w:val="333333"/>
          <w:sz w:val="36"/>
          <w:szCs w:val="36"/>
        </w:rPr>
        <w:lastRenderedPageBreak/>
        <w:t>设施、环境风险防范措施等的分析论证。研究制定我省产业园区生态环境准入清单编制技术指南及产业园区跟踪监测计划编制指南。</w:t>
      </w:r>
    </w:p>
    <w:p w14:paraId="12FBAA56"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（三）积极探索推进“两证审批合一”。按照《关于建设项目环评审批与排污许可证核发一体化办理试点工作的指导意见》（</w:t>
      </w:r>
      <w:proofErr w:type="gramStart"/>
      <w:r>
        <w:rPr>
          <w:rFonts w:ascii="仿宋" w:eastAsia="仿宋" w:hAnsi="仿宋" w:hint="eastAsia"/>
          <w:color w:val="333333"/>
          <w:sz w:val="36"/>
          <w:szCs w:val="36"/>
        </w:rPr>
        <w:t>鲁环字</w:t>
      </w:r>
      <w:proofErr w:type="gramEnd"/>
      <w:r>
        <w:rPr>
          <w:rFonts w:ascii="仿宋" w:eastAsia="仿宋" w:hAnsi="仿宋" w:hint="eastAsia"/>
          <w:color w:val="333333"/>
          <w:sz w:val="36"/>
          <w:szCs w:val="36"/>
        </w:rPr>
        <w:t>〔2023〕49号），持续深化济南、青岛、潍坊、济宁、德州5市试点工作，不断优化审批流程、</w:t>
      </w:r>
      <w:proofErr w:type="gramStart"/>
      <w:r>
        <w:rPr>
          <w:rFonts w:ascii="仿宋" w:eastAsia="仿宋" w:hAnsi="仿宋" w:hint="eastAsia"/>
          <w:color w:val="333333"/>
          <w:sz w:val="36"/>
          <w:szCs w:val="36"/>
        </w:rPr>
        <w:t>整合审批</w:t>
      </w:r>
      <w:proofErr w:type="gramEnd"/>
      <w:r>
        <w:rPr>
          <w:rFonts w:ascii="仿宋" w:eastAsia="仿宋" w:hAnsi="仿宋" w:hint="eastAsia"/>
          <w:color w:val="333333"/>
          <w:sz w:val="36"/>
          <w:szCs w:val="36"/>
        </w:rPr>
        <w:t>材料、完善“一证式”监管机制。在对工艺流程较为简单、建设工期较短、环境危害较小的项目先期试点的基础上，结合各市实际，视情选取其他情形的项目纳入试点范围。试点实施过程中，在小样本、小区域内推演完善，在工作流程相对成熟可行的情况下，逐步扩大试点范围。</w:t>
      </w:r>
    </w:p>
    <w:p w14:paraId="5BC260F5"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三、深化环</w:t>
      </w:r>
      <w:proofErr w:type="gramStart"/>
      <w:r>
        <w:rPr>
          <w:rFonts w:ascii="仿宋" w:eastAsia="仿宋" w:hAnsi="仿宋" w:hint="eastAsia"/>
          <w:color w:val="333333"/>
          <w:sz w:val="36"/>
          <w:szCs w:val="36"/>
        </w:rPr>
        <w:t>评制度</w:t>
      </w:r>
      <w:proofErr w:type="gramEnd"/>
      <w:r>
        <w:rPr>
          <w:rFonts w:ascii="仿宋" w:eastAsia="仿宋" w:hAnsi="仿宋" w:hint="eastAsia"/>
          <w:color w:val="333333"/>
          <w:sz w:val="36"/>
          <w:szCs w:val="36"/>
        </w:rPr>
        <w:t>改革</w:t>
      </w:r>
    </w:p>
    <w:p w14:paraId="4B0E8E4A"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（四）开展规划环评与</w:t>
      </w:r>
      <w:proofErr w:type="gramStart"/>
      <w:r>
        <w:rPr>
          <w:rFonts w:ascii="仿宋" w:eastAsia="仿宋" w:hAnsi="仿宋" w:hint="eastAsia"/>
          <w:color w:val="333333"/>
          <w:sz w:val="36"/>
          <w:szCs w:val="36"/>
        </w:rPr>
        <w:t>项目环</w:t>
      </w:r>
      <w:proofErr w:type="gramEnd"/>
      <w:r>
        <w:rPr>
          <w:rFonts w:ascii="仿宋" w:eastAsia="仿宋" w:hAnsi="仿宋" w:hint="eastAsia"/>
          <w:color w:val="333333"/>
          <w:sz w:val="36"/>
          <w:szCs w:val="36"/>
        </w:rPr>
        <w:t>评联动试点。根据《关于进一步加强产业园区规划环境影响评价工作的意见》（环环评〔2020〕65号）要求，筛选部分规划环</w:t>
      </w:r>
      <w:proofErr w:type="gramStart"/>
      <w:r>
        <w:rPr>
          <w:rFonts w:ascii="仿宋" w:eastAsia="仿宋" w:hAnsi="仿宋" w:hint="eastAsia"/>
          <w:color w:val="333333"/>
          <w:sz w:val="36"/>
          <w:szCs w:val="36"/>
        </w:rPr>
        <w:t>评制度</w:t>
      </w:r>
      <w:proofErr w:type="gramEnd"/>
      <w:r>
        <w:rPr>
          <w:rFonts w:ascii="仿宋" w:eastAsia="仿宋" w:hAnsi="仿宋" w:hint="eastAsia"/>
          <w:color w:val="333333"/>
          <w:sz w:val="36"/>
          <w:szCs w:val="36"/>
        </w:rPr>
        <w:t>落实到位、基础设施完善且环境质量持续改善的园区，开展规划环评与</w:t>
      </w:r>
      <w:proofErr w:type="gramStart"/>
      <w:r>
        <w:rPr>
          <w:rFonts w:ascii="仿宋" w:eastAsia="仿宋" w:hAnsi="仿宋" w:hint="eastAsia"/>
          <w:color w:val="333333"/>
          <w:sz w:val="36"/>
          <w:szCs w:val="36"/>
        </w:rPr>
        <w:t>项目环</w:t>
      </w:r>
      <w:proofErr w:type="gramEnd"/>
      <w:r>
        <w:rPr>
          <w:rFonts w:ascii="仿宋" w:eastAsia="仿宋" w:hAnsi="仿宋" w:hint="eastAsia"/>
          <w:color w:val="333333"/>
          <w:sz w:val="36"/>
          <w:szCs w:val="36"/>
        </w:rPr>
        <w:t>评联动试点。各市可选取符合条件的园区制定试点工作方案，经省生态环境厅审核后确定试点名单。省生态环境厅将不断总结试点</w:t>
      </w:r>
      <w:r>
        <w:rPr>
          <w:rFonts w:ascii="仿宋" w:eastAsia="仿宋" w:hAnsi="仿宋" w:hint="eastAsia"/>
          <w:color w:val="333333"/>
          <w:sz w:val="36"/>
          <w:szCs w:val="36"/>
        </w:rPr>
        <w:lastRenderedPageBreak/>
        <w:t>工作经验，加强管理和评估，对成效显著的，延长试点时间或扩大试点范围；对成效不理想的，及时督促整改或调出试点名单。涉重金属重点行业、涉有毒有害污染物排放、</w:t>
      </w:r>
      <w:proofErr w:type="gramStart"/>
      <w:r>
        <w:rPr>
          <w:rFonts w:ascii="仿宋" w:eastAsia="仿宋" w:hAnsi="仿宋" w:hint="eastAsia"/>
          <w:color w:val="333333"/>
          <w:sz w:val="36"/>
          <w:szCs w:val="36"/>
        </w:rPr>
        <w:t>涉新污染物</w:t>
      </w:r>
      <w:proofErr w:type="gramEnd"/>
      <w:r>
        <w:rPr>
          <w:rFonts w:ascii="仿宋" w:eastAsia="仿宋" w:hAnsi="仿宋" w:hint="eastAsia"/>
          <w:color w:val="333333"/>
          <w:sz w:val="36"/>
          <w:szCs w:val="36"/>
        </w:rPr>
        <w:t>排放的项目不纳入此次改革，不得简化管理要求。</w:t>
      </w:r>
    </w:p>
    <w:p w14:paraId="08758D52"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五）实施一批登记表豁免管理。试点园区内分布式光伏发电，污水处理及其再生利用，脱硫、脱硝、除尘、VOCs治理等大气污染治理工程，基层医疗卫生服务，城市道路，城市管网及管廊，城镇排涝河流水闸、排涝泵站等填报环境影响登记表项目，可实行环评豁免管理。列入豁免管理的项目，不需要办理备案手续，但</w:t>
      </w:r>
      <w:proofErr w:type="gramStart"/>
      <w:r>
        <w:rPr>
          <w:rFonts w:ascii="仿宋" w:eastAsia="仿宋" w:hAnsi="仿宋" w:hint="eastAsia"/>
          <w:color w:val="333333"/>
          <w:sz w:val="36"/>
          <w:szCs w:val="36"/>
        </w:rPr>
        <w:t>不</w:t>
      </w:r>
      <w:proofErr w:type="gramEnd"/>
      <w:r>
        <w:rPr>
          <w:rFonts w:ascii="仿宋" w:eastAsia="仿宋" w:hAnsi="仿宋" w:hint="eastAsia"/>
          <w:color w:val="333333"/>
          <w:sz w:val="36"/>
          <w:szCs w:val="36"/>
        </w:rPr>
        <w:t>免除建设单位应当承担的环境保护责任。试点园区内生产设施和污染防治设施不变，仅原辅料和产品发生变化的生物药品制造及其研发中试项目，经有审批权的环评审</w:t>
      </w:r>
      <w:proofErr w:type="gramStart"/>
      <w:r>
        <w:rPr>
          <w:rFonts w:ascii="仿宋" w:eastAsia="仿宋" w:hAnsi="仿宋" w:hint="eastAsia"/>
          <w:color w:val="333333"/>
          <w:sz w:val="36"/>
          <w:szCs w:val="36"/>
        </w:rPr>
        <w:t>批部门</w:t>
      </w:r>
      <w:proofErr w:type="gramEnd"/>
      <w:r>
        <w:rPr>
          <w:rFonts w:ascii="仿宋" w:eastAsia="仿宋" w:hAnsi="仿宋" w:hint="eastAsia"/>
          <w:color w:val="333333"/>
          <w:sz w:val="36"/>
          <w:szCs w:val="36"/>
        </w:rPr>
        <w:t>组织确认污染物排放种类和排放量未超过原环评的，无需重新办理环评。</w:t>
      </w:r>
    </w:p>
    <w:p w14:paraId="20BB2D80"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（六）推广一批报告表“打捆”审批。纳入试点的园区，可对范围内所有符合准入条件、同类型的报告表类项目开展环评“打捆”审批，各建设单位可共同编制一个环评文件，由环评审</w:t>
      </w:r>
      <w:proofErr w:type="gramStart"/>
      <w:r>
        <w:rPr>
          <w:rFonts w:ascii="仿宋" w:eastAsia="仿宋" w:hAnsi="仿宋" w:hint="eastAsia"/>
          <w:color w:val="333333"/>
          <w:sz w:val="36"/>
          <w:szCs w:val="36"/>
        </w:rPr>
        <w:t>批部门</w:t>
      </w:r>
      <w:proofErr w:type="gramEnd"/>
      <w:r>
        <w:rPr>
          <w:rFonts w:ascii="仿宋" w:eastAsia="仿宋" w:hAnsi="仿宋" w:hint="eastAsia"/>
          <w:color w:val="333333"/>
          <w:sz w:val="36"/>
          <w:szCs w:val="36"/>
        </w:rPr>
        <w:t>出具一个批复意见。各建设单位作为项目建设的责任主体，分别对照</w:t>
      </w:r>
      <w:r>
        <w:rPr>
          <w:rFonts w:ascii="仿宋" w:eastAsia="仿宋" w:hAnsi="仿宋" w:hint="eastAsia"/>
          <w:color w:val="333333"/>
          <w:sz w:val="36"/>
          <w:szCs w:val="36"/>
        </w:rPr>
        <w:lastRenderedPageBreak/>
        <w:t>环</w:t>
      </w:r>
      <w:proofErr w:type="gramStart"/>
      <w:r>
        <w:rPr>
          <w:rFonts w:ascii="仿宋" w:eastAsia="仿宋" w:hAnsi="仿宋" w:hint="eastAsia"/>
          <w:color w:val="333333"/>
          <w:sz w:val="36"/>
          <w:szCs w:val="36"/>
        </w:rPr>
        <w:t>评文件</w:t>
      </w:r>
      <w:proofErr w:type="gramEnd"/>
      <w:r>
        <w:rPr>
          <w:rFonts w:ascii="仿宋" w:eastAsia="仿宋" w:hAnsi="仿宋" w:hint="eastAsia"/>
          <w:color w:val="333333"/>
          <w:sz w:val="36"/>
          <w:szCs w:val="36"/>
        </w:rPr>
        <w:t>及批复要求建设运行，承担各自项目的环境保护主体责任。环评“打捆”审批实施规范参照《关于开展项目环评打捆审批工作的通知》（</w:t>
      </w:r>
      <w:proofErr w:type="gramStart"/>
      <w:r>
        <w:rPr>
          <w:rFonts w:ascii="仿宋" w:eastAsia="仿宋" w:hAnsi="仿宋" w:hint="eastAsia"/>
          <w:color w:val="333333"/>
          <w:sz w:val="36"/>
          <w:szCs w:val="36"/>
        </w:rPr>
        <w:t>鲁环发</w:t>
      </w:r>
      <w:proofErr w:type="gramEnd"/>
      <w:r>
        <w:rPr>
          <w:rFonts w:ascii="仿宋" w:eastAsia="仿宋" w:hAnsi="仿宋" w:hint="eastAsia"/>
          <w:color w:val="333333"/>
          <w:sz w:val="36"/>
          <w:szCs w:val="36"/>
        </w:rPr>
        <w:t>〔2022〕10号）执行。</w:t>
      </w:r>
    </w:p>
    <w:p w14:paraId="47CD4F82"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（七）简化一批报告书（表）内容。已完成环评的园区规划和煤炭矿区等专项规划包含的项目，在规划期内，</w:t>
      </w:r>
      <w:proofErr w:type="gramStart"/>
      <w:r>
        <w:rPr>
          <w:rFonts w:ascii="仿宋" w:eastAsia="仿宋" w:hAnsi="仿宋" w:hint="eastAsia"/>
          <w:color w:val="333333"/>
          <w:sz w:val="36"/>
          <w:szCs w:val="36"/>
        </w:rPr>
        <w:t>项目环评可</w:t>
      </w:r>
      <w:proofErr w:type="gramEnd"/>
      <w:r>
        <w:rPr>
          <w:rFonts w:ascii="仿宋" w:eastAsia="仿宋" w:hAnsi="仿宋" w:hint="eastAsia"/>
          <w:color w:val="333333"/>
          <w:sz w:val="36"/>
          <w:szCs w:val="36"/>
        </w:rPr>
        <w:t>简化区域环境质量现状、气象和水文地质资料、政策和规划符合性分析、选址环境合理性和可行性论证等内容，共享园区集中供热、交通运输等基础设施的相关评价内容，可直接引用园区环境监测成果。已取得入河排污口设置决定书的，对符合环评导则技术要求的有关涉水论证报告内容，</w:t>
      </w:r>
      <w:proofErr w:type="gramStart"/>
      <w:r>
        <w:rPr>
          <w:rFonts w:ascii="仿宋" w:eastAsia="仿宋" w:hAnsi="仿宋" w:hint="eastAsia"/>
          <w:color w:val="333333"/>
          <w:sz w:val="36"/>
          <w:szCs w:val="36"/>
        </w:rPr>
        <w:t>项目环评相关</w:t>
      </w:r>
      <w:proofErr w:type="gramEnd"/>
      <w:r>
        <w:rPr>
          <w:rFonts w:ascii="仿宋" w:eastAsia="仿宋" w:hAnsi="仿宋" w:hint="eastAsia"/>
          <w:color w:val="333333"/>
          <w:sz w:val="36"/>
          <w:szCs w:val="36"/>
        </w:rPr>
        <w:t>内容可通过引用结论等形式予以适当简化。</w:t>
      </w:r>
    </w:p>
    <w:p w14:paraId="2A6FF70F"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（八）优化一批</w:t>
      </w:r>
      <w:proofErr w:type="gramStart"/>
      <w:r>
        <w:rPr>
          <w:rFonts w:ascii="仿宋" w:eastAsia="仿宋" w:hAnsi="仿宋" w:hint="eastAsia"/>
          <w:color w:val="333333"/>
          <w:sz w:val="36"/>
          <w:szCs w:val="36"/>
        </w:rPr>
        <w:t>项目环</w:t>
      </w:r>
      <w:proofErr w:type="gramEnd"/>
      <w:r>
        <w:rPr>
          <w:rFonts w:ascii="仿宋" w:eastAsia="仿宋" w:hAnsi="仿宋" w:hint="eastAsia"/>
          <w:color w:val="333333"/>
          <w:sz w:val="36"/>
          <w:szCs w:val="36"/>
        </w:rPr>
        <w:t>评总量指标审核管理。充分用好总量指标重点保障政策，对纳入经党中央、国务院同意或批准的规划和政策文件的项目和省重大项目，项目拟</w:t>
      </w:r>
      <w:proofErr w:type="gramStart"/>
      <w:r>
        <w:rPr>
          <w:rFonts w:ascii="仿宋" w:eastAsia="仿宋" w:hAnsi="仿宋" w:hint="eastAsia"/>
          <w:color w:val="333333"/>
          <w:sz w:val="36"/>
          <w:szCs w:val="36"/>
        </w:rPr>
        <w:t>落地市</w:t>
      </w:r>
      <w:proofErr w:type="gramEnd"/>
      <w:r>
        <w:rPr>
          <w:rFonts w:ascii="仿宋" w:eastAsia="仿宋" w:hAnsi="仿宋" w:hint="eastAsia"/>
          <w:color w:val="333333"/>
          <w:sz w:val="36"/>
          <w:szCs w:val="36"/>
        </w:rPr>
        <w:t>在确认充分挖掘减</w:t>
      </w:r>
      <w:proofErr w:type="gramStart"/>
      <w:r>
        <w:rPr>
          <w:rFonts w:ascii="仿宋" w:eastAsia="仿宋" w:hAnsi="仿宋" w:hint="eastAsia"/>
          <w:color w:val="333333"/>
          <w:sz w:val="36"/>
          <w:szCs w:val="36"/>
        </w:rPr>
        <w:t>排潜力</w:t>
      </w:r>
      <w:proofErr w:type="gramEnd"/>
      <w:r>
        <w:rPr>
          <w:rFonts w:ascii="仿宋" w:eastAsia="仿宋" w:hAnsi="仿宋" w:hint="eastAsia"/>
          <w:color w:val="333333"/>
          <w:sz w:val="36"/>
          <w:szCs w:val="36"/>
        </w:rPr>
        <w:t>后，仍存在污染物指标缺口的，可采取申请全省统筹调配和与其他市协商调剂等方式予以解决。其中，上一年度环境空气质量不达标（指国家环境空气质量二级标准，下同）的市，本地至少先满足1倍量相关大气污染物削减替</w:t>
      </w:r>
      <w:r>
        <w:rPr>
          <w:rFonts w:ascii="仿宋" w:eastAsia="仿宋" w:hAnsi="仿宋" w:hint="eastAsia"/>
          <w:color w:val="333333"/>
          <w:sz w:val="36"/>
          <w:szCs w:val="36"/>
        </w:rPr>
        <w:lastRenderedPageBreak/>
        <w:t>代；上一年度环境空气质量达标的市，本地至少先满足0.6倍量相关大气污染物削减替代；充分挖掘减</w:t>
      </w:r>
      <w:proofErr w:type="gramStart"/>
      <w:r>
        <w:rPr>
          <w:rFonts w:ascii="仿宋" w:eastAsia="仿宋" w:hAnsi="仿宋" w:hint="eastAsia"/>
          <w:color w:val="333333"/>
          <w:sz w:val="36"/>
          <w:szCs w:val="36"/>
        </w:rPr>
        <w:t>排潜力</w:t>
      </w:r>
      <w:proofErr w:type="gramEnd"/>
      <w:r>
        <w:rPr>
          <w:rFonts w:ascii="仿宋" w:eastAsia="仿宋" w:hAnsi="仿宋" w:hint="eastAsia"/>
          <w:color w:val="333333"/>
          <w:sz w:val="36"/>
          <w:szCs w:val="36"/>
        </w:rPr>
        <w:t>后依然达不到上述削减替代比例的，实行“一事一议”。“先立后改”的煤电项目，主要大气污染物总量指标可来源于本行业或非</w:t>
      </w:r>
      <w:proofErr w:type="gramStart"/>
      <w:r>
        <w:rPr>
          <w:rFonts w:ascii="仿宋" w:eastAsia="仿宋" w:hAnsi="仿宋" w:hint="eastAsia"/>
          <w:color w:val="333333"/>
          <w:sz w:val="36"/>
          <w:szCs w:val="36"/>
        </w:rPr>
        <w:t>电工业</w:t>
      </w:r>
      <w:proofErr w:type="gramEnd"/>
      <w:r>
        <w:rPr>
          <w:rFonts w:ascii="仿宋" w:eastAsia="仿宋" w:hAnsi="仿宋" w:hint="eastAsia"/>
          <w:color w:val="333333"/>
          <w:sz w:val="36"/>
          <w:szCs w:val="36"/>
        </w:rPr>
        <w:t>行业可量化的清洁能源替代、落后产能淘汰、深度污染治理形成的减排量。</w:t>
      </w:r>
    </w:p>
    <w:p w14:paraId="2465C335"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（九）继续推进重点领域、重点行业温室气体排放环评等试点。积极争取参与国家试点，深入推进将减</w:t>
      </w:r>
      <w:proofErr w:type="gramStart"/>
      <w:r>
        <w:rPr>
          <w:rFonts w:ascii="仿宋" w:eastAsia="仿宋" w:hAnsi="仿宋" w:hint="eastAsia"/>
          <w:color w:val="333333"/>
          <w:sz w:val="36"/>
          <w:szCs w:val="36"/>
        </w:rPr>
        <w:t>污降碳</w:t>
      </w:r>
      <w:proofErr w:type="gramEnd"/>
      <w:r>
        <w:rPr>
          <w:rFonts w:ascii="仿宋" w:eastAsia="仿宋" w:hAnsi="仿宋" w:hint="eastAsia"/>
          <w:color w:val="333333"/>
          <w:sz w:val="36"/>
          <w:szCs w:val="36"/>
        </w:rPr>
        <w:t>协同纳入生态环境分区管控、产业园区规划环评和重点行业建设项目环评的试点工作；探索在煤炭开采、油气开采、垃圾填埋和污水处理等行业</w:t>
      </w:r>
      <w:proofErr w:type="gramStart"/>
      <w:r>
        <w:rPr>
          <w:rFonts w:ascii="仿宋" w:eastAsia="仿宋" w:hAnsi="仿宋" w:hint="eastAsia"/>
          <w:color w:val="333333"/>
          <w:sz w:val="36"/>
          <w:szCs w:val="36"/>
        </w:rPr>
        <w:t>项目环</w:t>
      </w:r>
      <w:proofErr w:type="gramEnd"/>
      <w:r>
        <w:rPr>
          <w:rFonts w:ascii="仿宋" w:eastAsia="仿宋" w:hAnsi="仿宋" w:hint="eastAsia"/>
          <w:color w:val="333333"/>
          <w:sz w:val="36"/>
          <w:szCs w:val="36"/>
        </w:rPr>
        <w:t>评中开展甲烷管控研究，形成一批可复制、可推广的案例。同时，选取典型行业重点项目，衔接新污染物最新管理要求和研究进展，探索开展新污染物评价方法试点，完善建设项目环</w:t>
      </w:r>
      <w:proofErr w:type="gramStart"/>
      <w:r>
        <w:rPr>
          <w:rFonts w:ascii="仿宋" w:eastAsia="仿宋" w:hAnsi="仿宋" w:hint="eastAsia"/>
          <w:color w:val="333333"/>
          <w:sz w:val="36"/>
          <w:szCs w:val="36"/>
        </w:rPr>
        <w:t>评管理</w:t>
      </w:r>
      <w:proofErr w:type="gramEnd"/>
      <w:r>
        <w:rPr>
          <w:rFonts w:ascii="仿宋" w:eastAsia="仿宋" w:hAnsi="仿宋" w:hint="eastAsia"/>
          <w:color w:val="333333"/>
          <w:sz w:val="36"/>
          <w:szCs w:val="36"/>
        </w:rPr>
        <w:t>要求。</w:t>
      </w:r>
    </w:p>
    <w:p w14:paraId="6EFE8A0A"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四、守牢生态环保底线</w:t>
      </w:r>
    </w:p>
    <w:p w14:paraId="36028DE8"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（十）严守环境准入底线。坚持依法依规审批，对不符合相关法律法规的，依法不予审批。强化底线约束，持续加强“两高一低”项目生态环境管理，新改扩建项目须认真分析与重点污染物排放总量控制、碳</w:t>
      </w:r>
      <w:r>
        <w:rPr>
          <w:rFonts w:ascii="仿宋" w:eastAsia="仿宋" w:hAnsi="仿宋" w:hint="eastAsia"/>
          <w:color w:val="333333"/>
          <w:sz w:val="36"/>
          <w:szCs w:val="36"/>
        </w:rPr>
        <w:lastRenderedPageBreak/>
        <w:t>排放达峰目标、生态环境准入清单、环</w:t>
      </w:r>
      <w:proofErr w:type="gramStart"/>
      <w:r>
        <w:rPr>
          <w:rFonts w:ascii="仿宋" w:eastAsia="仿宋" w:hAnsi="仿宋" w:hint="eastAsia"/>
          <w:color w:val="333333"/>
          <w:sz w:val="36"/>
          <w:szCs w:val="36"/>
        </w:rPr>
        <w:t>评文件</w:t>
      </w:r>
      <w:proofErr w:type="gramEnd"/>
      <w:r>
        <w:rPr>
          <w:rFonts w:ascii="仿宋" w:eastAsia="仿宋" w:hAnsi="仿宋" w:hint="eastAsia"/>
          <w:color w:val="333333"/>
          <w:sz w:val="36"/>
          <w:szCs w:val="36"/>
        </w:rPr>
        <w:t>审批原则要求等符合性。对承接产业转移、“公园”类、生态敏感和社会关注度高的项目，要严格按照环环评〔2023〕52号要求依法依规审批。</w:t>
      </w:r>
    </w:p>
    <w:p w14:paraId="1B0AC2E4"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（十一）强化生态影响类</w:t>
      </w:r>
      <w:proofErr w:type="gramStart"/>
      <w:r>
        <w:rPr>
          <w:rFonts w:ascii="仿宋" w:eastAsia="仿宋" w:hAnsi="仿宋" w:hint="eastAsia"/>
          <w:color w:val="333333"/>
          <w:sz w:val="36"/>
          <w:szCs w:val="36"/>
        </w:rPr>
        <w:t>项目环</w:t>
      </w:r>
      <w:proofErr w:type="gramEnd"/>
      <w:r>
        <w:rPr>
          <w:rFonts w:ascii="仿宋" w:eastAsia="仿宋" w:hAnsi="仿宋" w:hint="eastAsia"/>
          <w:color w:val="333333"/>
          <w:sz w:val="36"/>
          <w:szCs w:val="36"/>
        </w:rPr>
        <w:t>评管理。对铁路、公路、机场、水利水电、港口码头项目，煤炭、金属矿等采选类项目，涉尾矿库、危险废物等项目，要贯彻落实国家、</w:t>
      </w:r>
      <w:proofErr w:type="gramStart"/>
      <w:r>
        <w:rPr>
          <w:rFonts w:ascii="仿宋" w:eastAsia="仿宋" w:hAnsi="仿宋" w:hint="eastAsia"/>
          <w:color w:val="333333"/>
          <w:sz w:val="36"/>
          <w:szCs w:val="36"/>
        </w:rPr>
        <w:t>省各项</w:t>
      </w:r>
      <w:proofErr w:type="gramEnd"/>
      <w:r>
        <w:rPr>
          <w:rFonts w:ascii="仿宋" w:eastAsia="仿宋" w:hAnsi="仿宋" w:hint="eastAsia"/>
          <w:color w:val="333333"/>
          <w:sz w:val="36"/>
          <w:szCs w:val="36"/>
        </w:rPr>
        <w:t>政策要求，严把</w:t>
      </w:r>
      <w:proofErr w:type="gramStart"/>
      <w:r>
        <w:rPr>
          <w:rFonts w:ascii="仿宋" w:eastAsia="仿宋" w:hAnsi="仿宋" w:hint="eastAsia"/>
          <w:color w:val="333333"/>
          <w:sz w:val="36"/>
          <w:szCs w:val="36"/>
        </w:rPr>
        <w:t>环评准入关</w:t>
      </w:r>
      <w:proofErr w:type="gramEnd"/>
      <w:r>
        <w:rPr>
          <w:rFonts w:ascii="仿宋" w:eastAsia="仿宋" w:hAnsi="仿宋" w:hint="eastAsia"/>
          <w:color w:val="333333"/>
          <w:sz w:val="36"/>
          <w:szCs w:val="36"/>
        </w:rPr>
        <w:t>，最大程度降低对生态环境的影响。严格按照《环境影响评价技术导则</w:t>
      </w:r>
      <w:r>
        <w:rPr>
          <w:rFonts w:ascii="Calibri" w:eastAsia="仿宋" w:hAnsi="Calibri" w:cs="Calibri"/>
          <w:color w:val="333333"/>
          <w:sz w:val="36"/>
          <w:szCs w:val="36"/>
        </w:rPr>
        <w:t> </w:t>
      </w:r>
      <w:r>
        <w:rPr>
          <w:rFonts w:ascii="仿宋" w:eastAsia="仿宋" w:hAnsi="仿宋" w:hint="eastAsia"/>
          <w:color w:val="333333"/>
          <w:sz w:val="36"/>
          <w:szCs w:val="36"/>
        </w:rPr>
        <w:t>生态影响》要求，开展生态环境现状调查和生物多样性监测工作，重点关注项目建设对生态系统结构和功能完整性、稳定性的影响。鼓励探索研究生物多样性评价方法和保护措施，不断强化保护成效。</w:t>
      </w:r>
    </w:p>
    <w:p w14:paraId="06E374DB"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（十二）持续推进事中事后监管。建立健全环评、排污许可与执法监管联动机制，探索涵盖污染物排放执行标准、生态环保设施及对策措施、污染物排放量等内容的重点执法清单。按照“双随机、</w:t>
      </w:r>
      <w:proofErr w:type="gramStart"/>
      <w:r>
        <w:rPr>
          <w:rFonts w:ascii="仿宋" w:eastAsia="仿宋" w:hAnsi="仿宋" w:hint="eastAsia"/>
          <w:color w:val="333333"/>
          <w:sz w:val="36"/>
          <w:szCs w:val="36"/>
        </w:rPr>
        <w:t>一</w:t>
      </w:r>
      <w:proofErr w:type="gramEnd"/>
      <w:r>
        <w:rPr>
          <w:rFonts w:ascii="仿宋" w:eastAsia="仿宋" w:hAnsi="仿宋" w:hint="eastAsia"/>
          <w:color w:val="333333"/>
          <w:sz w:val="36"/>
          <w:szCs w:val="36"/>
        </w:rPr>
        <w:t>公开”监管工作要求，加大环评、排污许可、“三同时”及自主验收监督检查力度和违法行为查处力度。对市际和县际交界地带的产业园区和钢铁、焦化、火电等项目，</w:t>
      </w:r>
      <w:r>
        <w:rPr>
          <w:rFonts w:ascii="仿宋" w:eastAsia="仿宋" w:hAnsi="仿宋" w:hint="eastAsia"/>
          <w:color w:val="333333"/>
          <w:sz w:val="36"/>
          <w:szCs w:val="36"/>
        </w:rPr>
        <w:lastRenderedPageBreak/>
        <w:t>督促严格落实规划环评和</w:t>
      </w:r>
      <w:proofErr w:type="gramStart"/>
      <w:r>
        <w:rPr>
          <w:rFonts w:ascii="仿宋" w:eastAsia="仿宋" w:hAnsi="仿宋" w:hint="eastAsia"/>
          <w:color w:val="333333"/>
          <w:sz w:val="36"/>
          <w:szCs w:val="36"/>
        </w:rPr>
        <w:t>项目环</w:t>
      </w:r>
      <w:proofErr w:type="gramEnd"/>
      <w:r>
        <w:rPr>
          <w:rFonts w:ascii="仿宋" w:eastAsia="仿宋" w:hAnsi="仿宋" w:hint="eastAsia"/>
          <w:color w:val="333333"/>
          <w:sz w:val="36"/>
          <w:szCs w:val="36"/>
        </w:rPr>
        <w:t>评要求，加强源头防控和执法监管。区域性、行业性问题突出的，规划环</w:t>
      </w:r>
      <w:proofErr w:type="gramStart"/>
      <w:r>
        <w:rPr>
          <w:rFonts w:ascii="仿宋" w:eastAsia="仿宋" w:hAnsi="仿宋" w:hint="eastAsia"/>
          <w:color w:val="333333"/>
          <w:sz w:val="36"/>
          <w:szCs w:val="36"/>
        </w:rPr>
        <w:t>评要求</w:t>
      </w:r>
      <w:proofErr w:type="gramEnd"/>
      <w:r>
        <w:rPr>
          <w:rFonts w:ascii="仿宋" w:eastAsia="仿宋" w:hAnsi="仿宋" w:hint="eastAsia"/>
          <w:color w:val="333333"/>
          <w:sz w:val="36"/>
          <w:szCs w:val="36"/>
        </w:rPr>
        <w:t>落实不力导致区域环境质量下降、生态功能退化的，按有关要求纳入生态环境保护督察。</w:t>
      </w:r>
    </w:p>
    <w:p w14:paraId="5F06A8BC"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五、加强基层能力建设</w:t>
      </w:r>
    </w:p>
    <w:p w14:paraId="1D841076"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（十三）强化环</w:t>
      </w:r>
      <w:proofErr w:type="gramStart"/>
      <w:r>
        <w:rPr>
          <w:rFonts w:ascii="仿宋" w:eastAsia="仿宋" w:hAnsi="仿宋" w:hint="eastAsia"/>
          <w:color w:val="333333"/>
          <w:sz w:val="36"/>
          <w:szCs w:val="36"/>
        </w:rPr>
        <w:t>评指导</w:t>
      </w:r>
      <w:proofErr w:type="gramEnd"/>
      <w:r>
        <w:rPr>
          <w:rFonts w:ascii="仿宋" w:eastAsia="仿宋" w:hAnsi="仿宋" w:hint="eastAsia"/>
          <w:color w:val="333333"/>
          <w:sz w:val="36"/>
          <w:szCs w:val="36"/>
        </w:rPr>
        <w:t>帮扶。鼓励各市积极开展生态环境分区管控、环评、排污许可及其他管理制度衔接联动机制研究。加强环</w:t>
      </w:r>
      <w:proofErr w:type="gramStart"/>
      <w:r>
        <w:rPr>
          <w:rFonts w:ascii="仿宋" w:eastAsia="仿宋" w:hAnsi="仿宋" w:hint="eastAsia"/>
          <w:color w:val="333333"/>
          <w:sz w:val="36"/>
          <w:szCs w:val="36"/>
        </w:rPr>
        <w:t>评管理</w:t>
      </w:r>
      <w:proofErr w:type="gramEnd"/>
      <w:r>
        <w:rPr>
          <w:rFonts w:ascii="仿宋" w:eastAsia="仿宋" w:hAnsi="仿宋" w:hint="eastAsia"/>
          <w:color w:val="333333"/>
          <w:sz w:val="36"/>
          <w:szCs w:val="36"/>
        </w:rPr>
        <w:t>业务培训，定期与</w:t>
      </w:r>
      <w:proofErr w:type="gramStart"/>
      <w:r>
        <w:rPr>
          <w:rFonts w:ascii="仿宋" w:eastAsia="仿宋" w:hAnsi="仿宋" w:hint="eastAsia"/>
          <w:color w:val="333333"/>
          <w:sz w:val="36"/>
          <w:szCs w:val="36"/>
        </w:rPr>
        <w:t>基层环评审批部门</w:t>
      </w:r>
      <w:proofErr w:type="gramEnd"/>
      <w:r>
        <w:rPr>
          <w:rFonts w:ascii="仿宋" w:eastAsia="仿宋" w:hAnsi="仿宋" w:hint="eastAsia"/>
          <w:color w:val="333333"/>
          <w:sz w:val="36"/>
          <w:szCs w:val="36"/>
        </w:rPr>
        <w:t>座谈交流，研究解决环评难题。持续开展环评单位检查、环</w:t>
      </w:r>
      <w:proofErr w:type="gramStart"/>
      <w:r>
        <w:rPr>
          <w:rFonts w:ascii="仿宋" w:eastAsia="仿宋" w:hAnsi="仿宋" w:hint="eastAsia"/>
          <w:color w:val="333333"/>
          <w:sz w:val="36"/>
          <w:szCs w:val="36"/>
        </w:rPr>
        <w:t>评文件</w:t>
      </w:r>
      <w:proofErr w:type="gramEnd"/>
      <w:r>
        <w:rPr>
          <w:rFonts w:ascii="仿宋" w:eastAsia="仿宋" w:hAnsi="仿宋" w:hint="eastAsia"/>
          <w:color w:val="333333"/>
          <w:sz w:val="36"/>
          <w:szCs w:val="36"/>
        </w:rPr>
        <w:t>技术复核，始终保持环评监管的高压态势。各市要加强对从事技术评估和复核工作的第三方技术机构监督管理，原则上应要求配备取得环</w:t>
      </w:r>
      <w:proofErr w:type="gramStart"/>
      <w:r>
        <w:rPr>
          <w:rFonts w:ascii="仿宋" w:eastAsia="仿宋" w:hAnsi="仿宋" w:hint="eastAsia"/>
          <w:color w:val="333333"/>
          <w:sz w:val="36"/>
          <w:szCs w:val="36"/>
        </w:rPr>
        <w:t>评工程</w:t>
      </w:r>
      <w:proofErr w:type="gramEnd"/>
      <w:r>
        <w:rPr>
          <w:rFonts w:ascii="仿宋" w:eastAsia="仿宋" w:hAnsi="仿宋" w:hint="eastAsia"/>
          <w:color w:val="333333"/>
          <w:sz w:val="36"/>
          <w:szCs w:val="36"/>
        </w:rPr>
        <w:t>师职业资格证书的人员，切实提升技术能力建设水平。持续推进环评审</w:t>
      </w:r>
      <w:proofErr w:type="gramStart"/>
      <w:r>
        <w:rPr>
          <w:rFonts w:ascii="仿宋" w:eastAsia="仿宋" w:hAnsi="仿宋" w:hint="eastAsia"/>
          <w:color w:val="333333"/>
          <w:sz w:val="36"/>
          <w:szCs w:val="36"/>
        </w:rPr>
        <w:t>批全量全程网办</w:t>
      </w:r>
      <w:proofErr w:type="gramEnd"/>
      <w:r>
        <w:rPr>
          <w:rFonts w:ascii="仿宋" w:eastAsia="仿宋" w:hAnsi="仿宋" w:hint="eastAsia"/>
          <w:color w:val="333333"/>
          <w:sz w:val="36"/>
          <w:szCs w:val="36"/>
        </w:rPr>
        <w:t>，实现所有审批部门和所有非涉密项目全覆盖，实施受理、评估、</w:t>
      </w:r>
      <w:proofErr w:type="gramStart"/>
      <w:r>
        <w:rPr>
          <w:rFonts w:ascii="仿宋" w:eastAsia="仿宋" w:hAnsi="仿宋" w:hint="eastAsia"/>
          <w:color w:val="333333"/>
          <w:sz w:val="36"/>
          <w:szCs w:val="36"/>
        </w:rPr>
        <w:t>审批全</w:t>
      </w:r>
      <w:proofErr w:type="gramEnd"/>
      <w:r>
        <w:rPr>
          <w:rFonts w:ascii="仿宋" w:eastAsia="仿宋" w:hAnsi="仿宋" w:hint="eastAsia"/>
          <w:color w:val="333333"/>
          <w:sz w:val="36"/>
          <w:szCs w:val="36"/>
        </w:rPr>
        <w:t>过程信息留痕和信息公开。</w:t>
      </w:r>
    </w:p>
    <w:p w14:paraId="6E784260"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（十四）提高环评服务能力。加强技术评估能力建设，鼓励省级技术评估单位为各市重大</w:t>
      </w:r>
      <w:proofErr w:type="gramStart"/>
      <w:r>
        <w:rPr>
          <w:rFonts w:ascii="仿宋" w:eastAsia="仿宋" w:hAnsi="仿宋" w:hint="eastAsia"/>
          <w:color w:val="333333"/>
          <w:sz w:val="36"/>
          <w:szCs w:val="36"/>
        </w:rPr>
        <w:t>项目环评审批开展</w:t>
      </w:r>
      <w:proofErr w:type="gramEnd"/>
      <w:r>
        <w:rPr>
          <w:rFonts w:ascii="仿宋" w:eastAsia="仿宋" w:hAnsi="仿宋" w:hint="eastAsia"/>
          <w:color w:val="333333"/>
          <w:sz w:val="36"/>
          <w:szCs w:val="36"/>
        </w:rPr>
        <w:t>技术评估服务，鼓励市级环评审</w:t>
      </w:r>
      <w:proofErr w:type="gramStart"/>
      <w:r>
        <w:rPr>
          <w:rFonts w:ascii="仿宋" w:eastAsia="仿宋" w:hAnsi="仿宋" w:hint="eastAsia"/>
          <w:color w:val="333333"/>
          <w:sz w:val="36"/>
          <w:szCs w:val="36"/>
        </w:rPr>
        <w:t>批部门</w:t>
      </w:r>
      <w:proofErr w:type="gramEnd"/>
      <w:r>
        <w:rPr>
          <w:rFonts w:ascii="仿宋" w:eastAsia="仿宋" w:hAnsi="仿宋" w:hint="eastAsia"/>
          <w:color w:val="333333"/>
          <w:sz w:val="36"/>
          <w:szCs w:val="36"/>
        </w:rPr>
        <w:t>统筹使用全市审批和技术评估力量。市级、县级环评审</w:t>
      </w:r>
      <w:proofErr w:type="gramStart"/>
      <w:r>
        <w:rPr>
          <w:rFonts w:ascii="仿宋" w:eastAsia="仿宋" w:hAnsi="仿宋" w:hint="eastAsia"/>
          <w:color w:val="333333"/>
          <w:sz w:val="36"/>
          <w:szCs w:val="36"/>
        </w:rPr>
        <w:t>批部门</w:t>
      </w:r>
      <w:proofErr w:type="gramEnd"/>
      <w:r>
        <w:rPr>
          <w:rFonts w:ascii="仿宋" w:eastAsia="仿宋" w:hAnsi="仿宋" w:hint="eastAsia"/>
          <w:color w:val="333333"/>
          <w:sz w:val="36"/>
          <w:szCs w:val="36"/>
        </w:rPr>
        <w:t>应当组织对报告书项目和较复杂的报告</w:t>
      </w:r>
      <w:proofErr w:type="gramStart"/>
      <w:r>
        <w:rPr>
          <w:rFonts w:ascii="仿宋" w:eastAsia="仿宋" w:hAnsi="仿宋" w:hint="eastAsia"/>
          <w:color w:val="333333"/>
          <w:sz w:val="36"/>
          <w:szCs w:val="36"/>
        </w:rPr>
        <w:t>表项目</w:t>
      </w:r>
      <w:proofErr w:type="gramEnd"/>
      <w:r>
        <w:rPr>
          <w:rFonts w:ascii="仿宋" w:eastAsia="仿宋" w:hAnsi="仿宋" w:hint="eastAsia"/>
          <w:color w:val="333333"/>
          <w:sz w:val="36"/>
          <w:szCs w:val="36"/>
        </w:rPr>
        <w:t>开展技</w:t>
      </w:r>
      <w:r>
        <w:rPr>
          <w:rFonts w:ascii="仿宋" w:eastAsia="仿宋" w:hAnsi="仿宋" w:hint="eastAsia"/>
          <w:color w:val="333333"/>
          <w:sz w:val="36"/>
          <w:szCs w:val="36"/>
        </w:rPr>
        <w:lastRenderedPageBreak/>
        <w:t>术评估，并将评估费用纳入财政预算。鼓励开展形式多样的环评与排污许可技能比武，不断提升基层管理能力水平。进一步完善山东省环境影响评价审批系统，加快与全国建设项目环</w:t>
      </w:r>
      <w:proofErr w:type="gramStart"/>
      <w:r>
        <w:rPr>
          <w:rFonts w:ascii="仿宋" w:eastAsia="仿宋" w:hAnsi="仿宋" w:hint="eastAsia"/>
          <w:color w:val="333333"/>
          <w:sz w:val="36"/>
          <w:szCs w:val="36"/>
        </w:rPr>
        <w:t>评统一</w:t>
      </w:r>
      <w:proofErr w:type="gramEnd"/>
      <w:r>
        <w:rPr>
          <w:rFonts w:ascii="仿宋" w:eastAsia="仿宋" w:hAnsi="仿宋" w:hint="eastAsia"/>
          <w:color w:val="333333"/>
          <w:sz w:val="36"/>
          <w:szCs w:val="36"/>
        </w:rPr>
        <w:t>申报和审批系统等对接，强化数据互联互通，推动审批和监管提质增效。</w:t>
      </w:r>
    </w:p>
    <w:p w14:paraId="16974FF8" w14:textId="77777777" w:rsidR="0052529F" w:rsidRDefault="0052529F" w:rsidP="0052529F">
      <w:pPr>
        <w:pStyle w:val="af"/>
        <w:spacing w:line="480" w:lineRule="atLeast"/>
        <w:ind w:firstLine="480"/>
        <w:jc w:val="both"/>
        <w:rPr>
          <w:rFonts w:ascii="仿宋" w:eastAsia="仿宋" w:hAnsi="仿宋" w:hint="eastAsia"/>
          <w:sz w:val="36"/>
          <w:szCs w:val="36"/>
        </w:rPr>
      </w:pPr>
      <w:r>
        <w:rPr>
          <w:rFonts w:ascii="仿宋" w:eastAsia="仿宋" w:hAnsi="仿宋" w:hint="eastAsia"/>
          <w:color w:val="333333"/>
          <w:sz w:val="36"/>
          <w:szCs w:val="36"/>
        </w:rPr>
        <w:t>（十五）加强组织实施。各市生态环境部门和有关市行政审批服务部门要高度重视，细化工作措施，明确具体要求，确保各项工作顺利开展。要加强宣传推广，认真总结经验，相关工作进展情况及时报送省生态环境厅。</w:t>
      </w:r>
    </w:p>
    <w:p w14:paraId="45E39092" w14:textId="77777777" w:rsidR="0052529F" w:rsidRDefault="0052529F" w:rsidP="0052529F">
      <w:pPr>
        <w:pStyle w:val="af"/>
        <w:spacing w:line="480" w:lineRule="atLeast"/>
        <w:ind w:firstLine="480"/>
        <w:rPr>
          <w:rFonts w:ascii="仿宋" w:eastAsia="仿宋" w:hAnsi="仿宋" w:hint="eastAsia"/>
          <w:sz w:val="36"/>
          <w:szCs w:val="36"/>
        </w:rPr>
      </w:pPr>
      <w:r>
        <w:rPr>
          <w:rFonts w:ascii="仿宋" w:eastAsia="仿宋" w:hAnsi="仿宋" w:hint="eastAsia"/>
          <w:color w:val="333333"/>
          <w:sz w:val="36"/>
          <w:szCs w:val="36"/>
        </w:rPr>
        <w:t>本实施意见自印发之日起施行。各市生态环境部门、有关市行政审批服务部门要对照环环评〔2023〕52号和本文件要求，结合实际一并抓好贯彻落实。</w:t>
      </w:r>
    </w:p>
    <w:p w14:paraId="462E02B6" w14:textId="77777777" w:rsidR="0052529F" w:rsidRDefault="0052529F" w:rsidP="0052529F">
      <w:pPr>
        <w:pStyle w:val="af"/>
        <w:spacing w:line="480" w:lineRule="atLeast"/>
        <w:rPr>
          <w:rFonts w:ascii="仿宋" w:eastAsia="仿宋" w:hAnsi="仿宋" w:hint="eastAsia"/>
          <w:sz w:val="36"/>
          <w:szCs w:val="36"/>
        </w:rPr>
      </w:pPr>
    </w:p>
    <w:p w14:paraId="25CCB480" w14:textId="77777777" w:rsidR="0052529F" w:rsidRPr="0052529F" w:rsidRDefault="0052529F">
      <w:pPr>
        <w:rPr>
          <w:rFonts w:hint="eastAsia"/>
        </w:rPr>
      </w:pPr>
    </w:p>
    <w:sectPr w:rsidR="0052529F" w:rsidRPr="005252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29F"/>
    <w:rsid w:val="00243CAC"/>
    <w:rsid w:val="0052529F"/>
    <w:rsid w:val="00B00668"/>
    <w:rsid w:val="00D23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1219B"/>
  <w15:chartTrackingRefBased/>
  <w15:docId w15:val="{ED00BAED-C54A-46FE-A0D0-BF3815A0F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2529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52529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52529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52529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52529F"/>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52529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52529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2529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2529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2529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52529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52529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2529F"/>
    <w:rPr>
      <w:rFonts w:cstheme="majorBidi"/>
      <w:color w:val="2F5496" w:themeColor="accent1" w:themeShade="BF"/>
      <w:sz w:val="28"/>
      <w:szCs w:val="28"/>
    </w:rPr>
  </w:style>
  <w:style w:type="character" w:customStyle="1" w:styleId="50">
    <w:name w:val="标题 5 字符"/>
    <w:basedOn w:val="a0"/>
    <w:link w:val="5"/>
    <w:uiPriority w:val="9"/>
    <w:semiHidden/>
    <w:rsid w:val="0052529F"/>
    <w:rPr>
      <w:rFonts w:cstheme="majorBidi"/>
      <w:color w:val="2F5496" w:themeColor="accent1" w:themeShade="BF"/>
      <w:sz w:val="24"/>
      <w:szCs w:val="24"/>
    </w:rPr>
  </w:style>
  <w:style w:type="character" w:customStyle="1" w:styleId="60">
    <w:name w:val="标题 6 字符"/>
    <w:basedOn w:val="a0"/>
    <w:link w:val="6"/>
    <w:uiPriority w:val="9"/>
    <w:semiHidden/>
    <w:rsid w:val="0052529F"/>
    <w:rPr>
      <w:rFonts w:cstheme="majorBidi"/>
      <w:b/>
      <w:bCs/>
      <w:color w:val="2F5496" w:themeColor="accent1" w:themeShade="BF"/>
    </w:rPr>
  </w:style>
  <w:style w:type="character" w:customStyle="1" w:styleId="70">
    <w:name w:val="标题 7 字符"/>
    <w:basedOn w:val="a0"/>
    <w:link w:val="7"/>
    <w:uiPriority w:val="9"/>
    <w:semiHidden/>
    <w:rsid w:val="0052529F"/>
    <w:rPr>
      <w:rFonts w:cstheme="majorBidi"/>
      <w:b/>
      <w:bCs/>
      <w:color w:val="595959" w:themeColor="text1" w:themeTint="A6"/>
    </w:rPr>
  </w:style>
  <w:style w:type="character" w:customStyle="1" w:styleId="80">
    <w:name w:val="标题 8 字符"/>
    <w:basedOn w:val="a0"/>
    <w:link w:val="8"/>
    <w:uiPriority w:val="9"/>
    <w:semiHidden/>
    <w:rsid w:val="0052529F"/>
    <w:rPr>
      <w:rFonts w:cstheme="majorBidi"/>
      <w:color w:val="595959" w:themeColor="text1" w:themeTint="A6"/>
    </w:rPr>
  </w:style>
  <w:style w:type="character" w:customStyle="1" w:styleId="90">
    <w:name w:val="标题 9 字符"/>
    <w:basedOn w:val="a0"/>
    <w:link w:val="9"/>
    <w:uiPriority w:val="9"/>
    <w:semiHidden/>
    <w:rsid w:val="0052529F"/>
    <w:rPr>
      <w:rFonts w:eastAsiaTheme="majorEastAsia" w:cstheme="majorBidi"/>
      <w:color w:val="595959" w:themeColor="text1" w:themeTint="A6"/>
    </w:rPr>
  </w:style>
  <w:style w:type="paragraph" w:styleId="a3">
    <w:name w:val="Title"/>
    <w:basedOn w:val="a"/>
    <w:next w:val="a"/>
    <w:link w:val="a4"/>
    <w:uiPriority w:val="10"/>
    <w:qFormat/>
    <w:rsid w:val="0052529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2529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2529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2529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2529F"/>
    <w:pPr>
      <w:spacing w:before="160" w:after="160"/>
      <w:jc w:val="center"/>
    </w:pPr>
    <w:rPr>
      <w:i/>
      <w:iCs/>
      <w:color w:val="404040" w:themeColor="text1" w:themeTint="BF"/>
    </w:rPr>
  </w:style>
  <w:style w:type="character" w:customStyle="1" w:styleId="a8">
    <w:name w:val="引用 字符"/>
    <w:basedOn w:val="a0"/>
    <w:link w:val="a7"/>
    <w:uiPriority w:val="29"/>
    <w:rsid w:val="0052529F"/>
    <w:rPr>
      <w:i/>
      <w:iCs/>
      <w:color w:val="404040" w:themeColor="text1" w:themeTint="BF"/>
    </w:rPr>
  </w:style>
  <w:style w:type="paragraph" w:styleId="a9">
    <w:name w:val="List Paragraph"/>
    <w:basedOn w:val="a"/>
    <w:uiPriority w:val="34"/>
    <w:qFormat/>
    <w:rsid w:val="0052529F"/>
    <w:pPr>
      <w:ind w:left="720"/>
      <w:contextualSpacing/>
    </w:pPr>
  </w:style>
  <w:style w:type="character" w:styleId="aa">
    <w:name w:val="Intense Emphasis"/>
    <w:basedOn w:val="a0"/>
    <w:uiPriority w:val="21"/>
    <w:qFormat/>
    <w:rsid w:val="0052529F"/>
    <w:rPr>
      <w:i/>
      <w:iCs/>
      <w:color w:val="2F5496" w:themeColor="accent1" w:themeShade="BF"/>
    </w:rPr>
  </w:style>
  <w:style w:type="paragraph" w:styleId="ab">
    <w:name w:val="Intense Quote"/>
    <w:basedOn w:val="a"/>
    <w:next w:val="a"/>
    <w:link w:val="ac"/>
    <w:uiPriority w:val="30"/>
    <w:qFormat/>
    <w:rsid w:val="005252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52529F"/>
    <w:rPr>
      <w:i/>
      <w:iCs/>
      <w:color w:val="2F5496" w:themeColor="accent1" w:themeShade="BF"/>
    </w:rPr>
  </w:style>
  <w:style w:type="character" w:styleId="ad">
    <w:name w:val="Intense Reference"/>
    <w:basedOn w:val="a0"/>
    <w:uiPriority w:val="32"/>
    <w:qFormat/>
    <w:rsid w:val="0052529F"/>
    <w:rPr>
      <w:b/>
      <w:bCs/>
      <w:smallCaps/>
      <w:color w:val="2F5496" w:themeColor="accent1" w:themeShade="BF"/>
      <w:spacing w:val="5"/>
    </w:rPr>
  </w:style>
  <w:style w:type="character" w:styleId="ae">
    <w:name w:val="Strong"/>
    <w:basedOn w:val="a0"/>
    <w:uiPriority w:val="22"/>
    <w:qFormat/>
    <w:rsid w:val="0052529F"/>
    <w:rPr>
      <w:b/>
      <w:bCs/>
    </w:rPr>
  </w:style>
  <w:style w:type="paragraph" w:styleId="af">
    <w:name w:val="Normal (Web)"/>
    <w:basedOn w:val="a"/>
    <w:uiPriority w:val="99"/>
    <w:semiHidden/>
    <w:unhideWhenUsed/>
    <w:rsid w:val="0052529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586</Words>
  <Characters>3341</Characters>
  <Application>Microsoft Office Word</Application>
  <DocSecurity>0</DocSecurity>
  <Lines>27</Lines>
  <Paragraphs>7</Paragraphs>
  <ScaleCrop>false</ScaleCrop>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1</cp:revision>
  <dcterms:created xsi:type="dcterms:W3CDTF">2025-11-25T01:59:00Z</dcterms:created>
  <dcterms:modified xsi:type="dcterms:W3CDTF">2025-11-25T02:00:00Z</dcterms:modified>
</cp:coreProperties>
</file>