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02F5" w:rsidRPr="00C002F5" w:rsidRDefault="00C002F5" w:rsidP="00C002F5">
      <w:pPr>
        <w:jc w:val="center"/>
        <w:rPr>
          <w:rFonts w:ascii="黑体" w:eastAsia="黑体" w:hAnsi="黑体" w:hint="eastAsia"/>
          <w:bCs/>
          <w:color w:val="000000"/>
          <w:kern w:val="36"/>
          <w:sz w:val="32"/>
          <w:szCs w:val="32"/>
          <w:lang w:val="en"/>
        </w:rPr>
      </w:pPr>
      <w:r w:rsidRPr="00C002F5">
        <w:rPr>
          <w:rFonts w:ascii="黑体" w:eastAsia="黑体" w:hAnsi="黑体" w:hint="eastAsia"/>
          <w:bCs/>
          <w:color w:val="000000"/>
          <w:kern w:val="36"/>
          <w:sz w:val="32"/>
          <w:szCs w:val="32"/>
          <w:lang w:val="en"/>
        </w:rPr>
        <w:t>关于推进实施钢铁行业超低排放的意见</w:t>
      </w:r>
    </w:p>
    <w:p w:rsidR="00C002F5" w:rsidRPr="00C002F5" w:rsidRDefault="00C002F5" w:rsidP="00C002F5">
      <w:pPr>
        <w:jc w:val="center"/>
        <w:rPr>
          <w:rFonts w:asciiTheme="minorEastAsia" w:hAnsiTheme="minorEastAsia" w:hint="eastAsia"/>
          <w:color w:val="000000"/>
          <w:szCs w:val="21"/>
        </w:rPr>
      </w:pPr>
      <w:r w:rsidRPr="00C002F5">
        <w:rPr>
          <w:rFonts w:asciiTheme="minorEastAsia" w:hAnsiTheme="minorEastAsia" w:hint="eastAsia"/>
          <w:color w:val="000000"/>
          <w:szCs w:val="21"/>
        </w:rPr>
        <w:t>环大气[2019]35号</w:t>
      </w:r>
    </w:p>
    <w:p w:rsidR="00C002F5" w:rsidRPr="00C002F5" w:rsidRDefault="00C002F5" w:rsidP="00C002F5">
      <w:pPr>
        <w:widowControl/>
        <w:shd w:val="clear" w:color="auto" w:fill="FFFFFF"/>
        <w:spacing w:line="540" w:lineRule="atLeast"/>
        <w:jc w:val="left"/>
        <w:rPr>
          <w:rFonts w:asciiTheme="minorEastAsia" w:hAnsiTheme="minorEastAsia" w:cs="宋体"/>
          <w:color w:val="000000"/>
          <w:kern w:val="0"/>
          <w:sz w:val="24"/>
          <w:szCs w:val="24"/>
          <w:lang w:val="en"/>
        </w:rPr>
      </w:pPr>
      <w:r w:rsidRPr="00C002F5">
        <w:rPr>
          <w:rFonts w:asciiTheme="minorEastAsia" w:hAnsiTheme="minorEastAsia" w:cs="宋体" w:hint="eastAsia"/>
          <w:color w:val="000000"/>
          <w:kern w:val="0"/>
          <w:sz w:val="24"/>
          <w:szCs w:val="24"/>
          <w:lang w:val="en"/>
        </w:rPr>
        <w:t>各省、自治区、直辖市生态环境厅（局）、发展改革委、工业和信息化主管部门、财政厅（局）、交通运输厅（委、局），新疆生产建设兵团生态环境局、发展改革委、工业和信息化局、财政局、交通运输局：</w:t>
      </w:r>
    </w:p>
    <w:p w:rsidR="00C002F5" w:rsidRPr="00C002F5" w:rsidRDefault="00C002F5" w:rsidP="00C002F5">
      <w:pPr>
        <w:widowControl/>
        <w:shd w:val="clear" w:color="auto" w:fill="FFFFFF"/>
        <w:spacing w:line="540" w:lineRule="atLeast"/>
        <w:jc w:val="left"/>
        <w:rPr>
          <w:rFonts w:asciiTheme="minorEastAsia" w:hAnsiTheme="minorEastAsia" w:cs="宋体" w:hint="eastAsia"/>
          <w:color w:val="000000"/>
          <w:kern w:val="0"/>
          <w:sz w:val="24"/>
          <w:szCs w:val="24"/>
          <w:lang w:val="en"/>
        </w:rPr>
      </w:pPr>
      <w:r w:rsidRPr="00C002F5">
        <w:rPr>
          <w:rFonts w:asciiTheme="minorEastAsia" w:hAnsiTheme="minorEastAsia" w:cs="宋体" w:hint="eastAsia"/>
          <w:color w:val="000000"/>
          <w:kern w:val="0"/>
          <w:sz w:val="24"/>
          <w:szCs w:val="24"/>
          <w:lang w:val="en"/>
        </w:rPr>
        <w:t xml:space="preserve">　　推进实施钢铁行业超低排放是推动行业高质量发展、促进产业转型升级、助力打赢蓝天保卫战的重要举措。为贯彻落实《政府工作报告》《中共中央 国务院关于全面加强生态环境保护 坚决打好污染防治攻坚战的意见》《国务院关于印发打赢蓝天保卫战三年行动计划的通知》等有关要求，加强对各地指导，明确企业改造任务，提出以下意见。</w:t>
      </w:r>
    </w:p>
    <w:p w:rsidR="00C002F5" w:rsidRPr="00C002F5" w:rsidRDefault="00C002F5" w:rsidP="00C002F5">
      <w:pPr>
        <w:widowControl/>
        <w:shd w:val="clear" w:color="auto" w:fill="FFFFFF"/>
        <w:spacing w:line="540" w:lineRule="atLeast"/>
        <w:jc w:val="left"/>
        <w:rPr>
          <w:rFonts w:asciiTheme="minorEastAsia" w:hAnsiTheme="minorEastAsia" w:cs="宋体" w:hint="eastAsia"/>
          <w:color w:val="000000"/>
          <w:kern w:val="0"/>
          <w:sz w:val="24"/>
          <w:szCs w:val="24"/>
          <w:lang w:val="en"/>
        </w:rPr>
      </w:pPr>
      <w:r w:rsidRPr="00C002F5">
        <w:rPr>
          <w:rFonts w:asciiTheme="minorEastAsia" w:hAnsiTheme="minorEastAsia" w:cs="宋体" w:hint="eastAsia"/>
          <w:color w:val="000000"/>
          <w:kern w:val="0"/>
          <w:sz w:val="24"/>
          <w:szCs w:val="24"/>
          <w:lang w:val="en"/>
        </w:rPr>
        <w:t xml:space="preserve">　　一、总体要求</w:t>
      </w:r>
    </w:p>
    <w:p w:rsidR="00C002F5" w:rsidRPr="00C002F5" w:rsidRDefault="00C002F5" w:rsidP="00C002F5">
      <w:pPr>
        <w:widowControl/>
        <w:shd w:val="clear" w:color="auto" w:fill="FFFFFF"/>
        <w:spacing w:line="540" w:lineRule="atLeast"/>
        <w:jc w:val="left"/>
        <w:rPr>
          <w:rFonts w:asciiTheme="minorEastAsia" w:hAnsiTheme="minorEastAsia" w:cs="宋体" w:hint="eastAsia"/>
          <w:color w:val="000000"/>
          <w:kern w:val="0"/>
          <w:sz w:val="24"/>
          <w:szCs w:val="24"/>
          <w:lang w:val="en"/>
        </w:rPr>
      </w:pPr>
      <w:r w:rsidRPr="00C002F5">
        <w:rPr>
          <w:rFonts w:asciiTheme="minorEastAsia" w:hAnsiTheme="minorEastAsia" w:cs="宋体" w:hint="eastAsia"/>
          <w:color w:val="000000"/>
          <w:kern w:val="0"/>
          <w:sz w:val="24"/>
          <w:szCs w:val="24"/>
          <w:lang w:val="en"/>
        </w:rPr>
        <w:t xml:space="preserve">　　（一）指导思想。以习近平新时代中国特色社会主义思想为指导，深入贯彻党的十九大和十九届二中、三中全会精神，全面落</w:t>
      </w:r>
      <w:proofErr w:type="gramStart"/>
      <w:r w:rsidRPr="00C002F5">
        <w:rPr>
          <w:rFonts w:asciiTheme="minorEastAsia" w:hAnsiTheme="minorEastAsia" w:cs="宋体" w:hint="eastAsia"/>
          <w:color w:val="000000"/>
          <w:kern w:val="0"/>
          <w:sz w:val="24"/>
          <w:szCs w:val="24"/>
          <w:lang w:val="en"/>
        </w:rPr>
        <w:t>实习近</w:t>
      </w:r>
      <w:proofErr w:type="gramEnd"/>
      <w:r w:rsidRPr="00C002F5">
        <w:rPr>
          <w:rFonts w:asciiTheme="minorEastAsia" w:hAnsiTheme="minorEastAsia" w:cs="宋体" w:hint="eastAsia"/>
          <w:color w:val="000000"/>
          <w:kern w:val="0"/>
          <w:sz w:val="24"/>
          <w:szCs w:val="24"/>
          <w:lang w:val="en"/>
        </w:rPr>
        <w:t>平生态文明思想和全国生态环境保护大会要求，坚持稳中求进工作总基调，坚持新发展理念，坚持推动高质量发展，坚持以供给侧结构性改革为主线，更多运用市场化、法治化手段，更好发挥政府作用，推动实施钢铁行业超低排放，实现全流程、全过程环境管理，有效提高钢铁行业发展质量和效益，大幅削减主要大气污染物排放量，促进环境空气质量持续改善，为打赢蓝天保卫战提供有力支撑。</w:t>
      </w:r>
    </w:p>
    <w:p w:rsidR="00C002F5" w:rsidRPr="00C002F5" w:rsidRDefault="00C002F5" w:rsidP="00C002F5">
      <w:pPr>
        <w:widowControl/>
        <w:shd w:val="clear" w:color="auto" w:fill="FFFFFF"/>
        <w:spacing w:line="540" w:lineRule="atLeast"/>
        <w:jc w:val="left"/>
        <w:rPr>
          <w:rFonts w:asciiTheme="minorEastAsia" w:hAnsiTheme="minorEastAsia" w:cs="宋体" w:hint="eastAsia"/>
          <w:color w:val="000000"/>
          <w:kern w:val="0"/>
          <w:sz w:val="24"/>
          <w:szCs w:val="24"/>
          <w:lang w:val="en"/>
        </w:rPr>
      </w:pPr>
      <w:r w:rsidRPr="00C002F5">
        <w:rPr>
          <w:rFonts w:asciiTheme="minorEastAsia" w:hAnsiTheme="minorEastAsia" w:cs="宋体" w:hint="eastAsia"/>
          <w:color w:val="000000"/>
          <w:kern w:val="0"/>
          <w:sz w:val="24"/>
          <w:szCs w:val="24"/>
          <w:lang w:val="en"/>
        </w:rPr>
        <w:t xml:space="preserve">　　（二）基本原则。</w:t>
      </w:r>
    </w:p>
    <w:p w:rsidR="00C002F5" w:rsidRPr="00C002F5" w:rsidRDefault="00C002F5" w:rsidP="00C002F5">
      <w:pPr>
        <w:widowControl/>
        <w:shd w:val="clear" w:color="auto" w:fill="FFFFFF"/>
        <w:spacing w:line="540" w:lineRule="atLeast"/>
        <w:jc w:val="left"/>
        <w:rPr>
          <w:rFonts w:asciiTheme="minorEastAsia" w:hAnsiTheme="minorEastAsia" w:cs="宋体" w:hint="eastAsia"/>
          <w:color w:val="000000"/>
          <w:kern w:val="0"/>
          <w:sz w:val="24"/>
          <w:szCs w:val="24"/>
          <w:lang w:val="en"/>
        </w:rPr>
      </w:pPr>
      <w:r w:rsidRPr="00C002F5">
        <w:rPr>
          <w:rFonts w:asciiTheme="minorEastAsia" w:hAnsiTheme="minorEastAsia" w:cs="宋体" w:hint="eastAsia"/>
          <w:color w:val="000000"/>
          <w:kern w:val="0"/>
          <w:sz w:val="24"/>
          <w:szCs w:val="24"/>
          <w:lang w:val="en"/>
        </w:rPr>
        <w:t xml:space="preserve">　　坚持统筹协调，系统提升。树立行业绿色发展新标尺，采取综合措施，通过“超低改造一批、达标治理一批、淘汰落后一批”，推动行业整体转型升级；实施差别化环保政策，营造公平竞争、健康有序的发展环境，为促进行业高质量发展创造有利条件。</w:t>
      </w:r>
    </w:p>
    <w:p w:rsidR="00C002F5" w:rsidRPr="00C002F5" w:rsidRDefault="00C002F5" w:rsidP="00C002F5">
      <w:pPr>
        <w:widowControl/>
        <w:shd w:val="clear" w:color="auto" w:fill="FFFFFF"/>
        <w:spacing w:line="540" w:lineRule="atLeast"/>
        <w:jc w:val="left"/>
        <w:rPr>
          <w:rFonts w:asciiTheme="minorEastAsia" w:hAnsiTheme="minorEastAsia" w:cs="宋体" w:hint="eastAsia"/>
          <w:color w:val="000000"/>
          <w:kern w:val="0"/>
          <w:sz w:val="24"/>
          <w:szCs w:val="24"/>
          <w:lang w:val="en"/>
        </w:rPr>
      </w:pPr>
      <w:r w:rsidRPr="00C002F5">
        <w:rPr>
          <w:rFonts w:asciiTheme="minorEastAsia" w:hAnsiTheme="minorEastAsia" w:cs="宋体" w:hint="eastAsia"/>
          <w:color w:val="000000"/>
          <w:kern w:val="0"/>
          <w:sz w:val="24"/>
          <w:szCs w:val="24"/>
          <w:lang w:val="en"/>
        </w:rPr>
        <w:t xml:space="preserve">　　坚持突出重点，分步推进。以改善环境空气质量为核心，围绕打赢蓝天保卫战目标任务，在京津冀及周边地区、长三角地区、</w:t>
      </w:r>
      <w:proofErr w:type="gramStart"/>
      <w:r w:rsidRPr="00C002F5">
        <w:rPr>
          <w:rFonts w:asciiTheme="minorEastAsia" w:hAnsiTheme="minorEastAsia" w:cs="宋体" w:hint="eastAsia"/>
          <w:color w:val="000000"/>
          <w:kern w:val="0"/>
          <w:sz w:val="24"/>
          <w:szCs w:val="24"/>
          <w:lang w:val="en"/>
        </w:rPr>
        <w:t>汾</w:t>
      </w:r>
      <w:proofErr w:type="gramEnd"/>
      <w:r w:rsidRPr="00C002F5">
        <w:rPr>
          <w:rFonts w:asciiTheme="minorEastAsia" w:hAnsiTheme="minorEastAsia" w:cs="宋体" w:hint="eastAsia"/>
          <w:color w:val="000000"/>
          <w:kern w:val="0"/>
          <w:sz w:val="24"/>
          <w:szCs w:val="24"/>
          <w:lang w:val="en"/>
        </w:rPr>
        <w:t>渭平原等大气污染防治重点</w:t>
      </w:r>
      <w:r w:rsidRPr="00C002F5">
        <w:rPr>
          <w:rFonts w:asciiTheme="minorEastAsia" w:hAnsiTheme="minorEastAsia" w:cs="宋体" w:hint="eastAsia"/>
          <w:color w:val="000000"/>
          <w:kern w:val="0"/>
          <w:sz w:val="24"/>
          <w:szCs w:val="24"/>
          <w:lang w:val="en"/>
        </w:rPr>
        <w:lastRenderedPageBreak/>
        <w:t>区域（以下简称重点区域，范围见附表1）率先推进，按照稳中求进的工作总基调，综合考虑技术、经济、市场等条件，确定分区域、分阶段改造任务。</w:t>
      </w:r>
    </w:p>
    <w:p w:rsidR="00C002F5" w:rsidRPr="00C002F5" w:rsidRDefault="00C002F5" w:rsidP="00C002F5">
      <w:pPr>
        <w:widowControl/>
        <w:shd w:val="clear" w:color="auto" w:fill="FFFFFF"/>
        <w:spacing w:line="540" w:lineRule="atLeast"/>
        <w:jc w:val="left"/>
        <w:rPr>
          <w:rFonts w:asciiTheme="minorEastAsia" w:hAnsiTheme="minorEastAsia" w:cs="宋体" w:hint="eastAsia"/>
          <w:color w:val="000000"/>
          <w:kern w:val="0"/>
          <w:sz w:val="24"/>
          <w:szCs w:val="24"/>
          <w:lang w:val="en"/>
        </w:rPr>
      </w:pPr>
      <w:r w:rsidRPr="00C002F5">
        <w:rPr>
          <w:rFonts w:asciiTheme="minorEastAsia" w:hAnsiTheme="minorEastAsia" w:cs="宋体" w:hint="eastAsia"/>
          <w:color w:val="000000"/>
          <w:kern w:val="0"/>
          <w:sz w:val="24"/>
          <w:szCs w:val="24"/>
          <w:lang w:val="en"/>
        </w:rPr>
        <w:t xml:space="preserve">　　坚持分类管理，综合施策。根据行业排放特征，对有组织排放、无组织排放和大宗物料产品运输，分门别类提出指标限值和管控措施；综合采取税收、财政、价格、金融、环保等政策，多</w:t>
      </w:r>
      <w:proofErr w:type="gramStart"/>
      <w:r w:rsidRPr="00C002F5">
        <w:rPr>
          <w:rFonts w:asciiTheme="minorEastAsia" w:hAnsiTheme="minorEastAsia" w:cs="宋体" w:hint="eastAsia"/>
          <w:color w:val="000000"/>
          <w:kern w:val="0"/>
          <w:sz w:val="24"/>
          <w:szCs w:val="24"/>
          <w:lang w:val="en"/>
        </w:rPr>
        <w:t>措</w:t>
      </w:r>
      <w:proofErr w:type="gramEnd"/>
      <w:r w:rsidRPr="00C002F5">
        <w:rPr>
          <w:rFonts w:asciiTheme="minorEastAsia" w:hAnsiTheme="minorEastAsia" w:cs="宋体" w:hint="eastAsia"/>
          <w:color w:val="000000"/>
          <w:kern w:val="0"/>
          <w:sz w:val="24"/>
          <w:szCs w:val="24"/>
          <w:lang w:val="en"/>
        </w:rPr>
        <w:t>并举推动实施。</w:t>
      </w:r>
    </w:p>
    <w:p w:rsidR="00C002F5" w:rsidRPr="00C002F5" w:rsidRDefault="00C002F5" w:rsidP="00C002F5">
      <w:pPr>
        <w:widowControl/>
        <w:shd w:val="clear" w:color="auto" w:fill="FFFFFF"/>
        <w:spacing w:line="540" w:lineRule="atLeast"/>
        <w:jc w:val="left"/>
        <w:rPr>
          <w:rFonts w:asciiTheme="minorEastAsia" w:hAnsiTheme="minorEastAsia" w:cs="宋体" w:hint="eastAsia"/>
          <w:color w:val="000000"/>
          <w:kern w:val="0"/>
          <w:sz w:val="24"/>
          <w:szCs w:val="24"/>
          <w:lang w:val="en"/>
        </w:rPr>
      </w:pPr>
      <w:r w:rsidRPr="00C002F5">
        <w:rPr>
          <w:rFonts w:asciiTheme="minorEastAsia" w:hAnsiTheme="minorEastAsia" w:cs="宋体" w:hint="eastAsia"/>
          <w:color w:val="000000"/>
          <w:kern w:val="0"/>
          <w:sz w:val="24"/>
          <w:szCs w:val="24"/>
          <w:lang w:val="en"/>
        </w:rPr>
        <w:t xml:space="preserve">　　坚持企业主体，政府引导。强化企业主体责任，加大资金投入，严把工程质量，加强运行管理，加大多部门联合惩戒力度；更好发挥政府作用，形成有效激励和约束，增强服务意识，帮助企业制定综合治理方案。</w:t>
      </w:r>
    </w:p>
    <w:p w:rsidR="00C002F5" w:rsidRPr="00C002F5" w:rsidRDefault="00C002F5" w:rsidP="00C002F5">
      <w:pPr>
        <w:widowControl/>
        <w:shd w:val="clear" w:color="auto" w:fill="FFFFFF"/>
        <w:spacing w:line="540" w:lineRule="atLeast"/>
        <w:jc w:val="left"/>
        <w:rPr>
          <w:rFonts w:asciiTheme="minorEastAsia" w:hAnsiTheme="minorEastAsia" w:cs="宋体" w:hint="eastAsia"/>
          <w:color w:val="000000"/>
          <w:kern w:val="0"/>
          <w:sz w:val="24"/>
          <w:szCs w:val="24"/>
          <w:lang w:val="en"/>
        </w:rPr>
      </w:pPr>
      <w:r w:rsidRPr="00C002F5">
        <w:rPr>
          <w:rFonts w:asciiTheme="minorEastAsia" w:hAnsiTheme="minorEastAsia" w:cs="宋体" w:hint="eastAsia"/>
          <w:color w:val="000000"/>
          <w:kern w:val="0"/>
          <w:sz w:val="24"/>
          <w:szCs w:val="24"/>
          <w:lang w:val="en"/>
        </w:rPr>
        <w:t xml:space="preserve">　　（三）主要目标。全国新建（含搬迁）钢铁项目原则上要达到超低排放水平。推动现有钢铁企业超低排放改造，到2020年底前，重点区域钢铁企业超低排放改造取得明显进展，力争60%左右产能完成改造，有序推进其他地区钢铁企业超低排放改造工作；到2025年底前，重点区域钢铁企业超低排放改造基本完成，全国力争80%以上产能完成改造。</w:t>
      </w:r>
    </w:p>
    <w:p w:rsidR="00C002F5" w:rsidRPr="00C002F5" w:rsidRDefault="00C002F5" w:rsidP="00C002F5">
      <w:pPr>
        <w:widowControl/>
        <w:shd w:val="clear" w:color="auto" w:fill="FFFFFF"/>
        <w:spacing w:line="540" w:lineRule="atLeast"/>
        <w:jc w:val="left"/>
        <w:rPr>
          <w:rFonts w:asciiTheme="minorEastAsia" w:hAnsiTheme="minorEastAsia" w:cs="宋体" w:hint="eastAsia"/>
          <w:color w:val="000000"/>
          <w:kern w:val="0"/>
          <w:sz w:val="24"/>
          <w:szCs w:val="24"/>
          <w:lang w:val="en"/>
        </w:rPr>
      </w:pPr>
      <w:r w:rsidRPr="00C002F5">
        <w:rPr>
          <w:rFonts w:asciiTheme="minorEastAsia" w:hAnsiTheme="minorEastAsia" w:cs="宋体" w:hint="eastAsia"/>
          <w:color w:val="000000"/>
          <w:kern w:val="0"/>
          <w:sz w:val="24"/>
          <w:szCs w:val="24"/>
          <w:lang w:val="en"/>
        </w:rPr>
        <w:t xml:space="preserve">　　二、钢铁企业超低排放指标要求</w:t>
      </w:r>
    </w:p>
    <w:p w:rsidR="00C002F5" w:rsidRPr="00C002F5" w:rsidRDefault="00C002F5" w:rsidP="00C002F5">
      <w:pPr>
        <w:widowControl/>
        <w:shd w:val="clear" w:color="auto" w:fill="FFFFFF"/>
        <w:spacing w:line="540" w:lineRule="atLeast"/>
        <w:jc w:val="left"/>
        <w:rPr>
          <w:rFonts w:asciiTheme="minorEastAsia" w:hAnsiTheme="minorEastAsia" w:cs="宋体" w:hint="eastAsia"/>
          <w:color w:val="000000"/>
          <w:kern w:val="0"/>
          <w:sz w:val="24"/>
          <w:szCs w:val="24"/>
          <w:lang w:val="en"/>
        </w:rPr>
      </w:pPr>
      <w:r w:rsidRPr="00C002F5">
        <w:rPr>
          <w:rFonts w:asciiTheme="minorEastAsia" w:hAnsiTheme="minorEastAsia" w:cs="宋体" w:hint="eastAsia"/>
          <w:color w:val="000000"/>
          <w:kern w:val="0"/>
          <w:sz w:val="24"/>
          <w:szCs w:val="24"/>
          <w:lang w:val="en"/>
        </w:rPr>
        <w:t xml:space="preserve">　　钢铁企业超低排放是指对所有生产环节（</w:t>
      </w:r>
      <w:proofErr w:type="gramStart"/>
      <w:r w:rsidRPr="00C002F5">
        <w:rPr>
          <w:rFonts w:asciiTheme="minorEastAsia" w:hAnsiTheme="minorEastAsia" w:cs="宋体" w:hint="eastAsia"/>
          <w:color w:val="000000"/>
          <w:kern w:val="0"/>
          <w:sz w:val="24"/>
          <w:szCs w:val="24"/>
          <w:lang w:val="en"/>
        </w:rPr>
        <w:t>含原料</w:t>
      </w:r>
      <w:proofErr w:type="gramEnd"/>
      <w:r w:rsidRPr="00C002F5">
        <w:rPr>
          <w:rFonts w:asciiTheme="minorEastAsia" w:hAnsiTheme="minorEastAsia" w:cs="宋体" w:hint="eastAsia"/>
          <w:color w:val="000000"/>
          <w:kern w:val="0"/>
          <w:sz w:val="24"/>
          <w:szCs w:val="24"/>
          <w:lang w:val="en"/>
        </w:rPr>
        <w:t>场、烧结、球团、炼焦、炼铁、炼钢、轧钢、自备电厂等，以及大宗物料产品运输）实施升级改造，大气污染物有组织排放、无组织排放以及运输过程满足以下要求：</w:t>
      </w:r>
    </w:p>
    <w:p w:rsidR="00C002F5" w:rsidRPr="00C002F5" w:rsidRDefault="00C002F5" w:rsidP="00C002F5">
      <w:pPr>
        <w:widowControl/>
        <w:shd w:val="clear" w:color="auto" w:fill="FFFFFF"/>
        <w:spacing w:line="540" w:lineRule="atLeast"/>
        <w:jc w:val="left"/>
        <w:rPr>
          <w:rFonts w:asciiTheme="minorEastAsia" w:hAnsiTheme="minorEastAsia" w:cs="宋体" w:hint="eastAsia"/>
          <w:color w:val="000000"/>
          <w:kern w:val="0"/>
          <w:sz w:val="24"/>
          <w:szCs w:val="24"/>
          <w:lang w:val="en"/>
        </w:rPr>
      </w:pPr>
      <w:r w:rsidRPr="00C002F5">
        <w:rPr>
          <w:rFonts w:asciiTheme="minorEastAsia" w:hAnsiTheme="minorEastAsia" w:cs="宋体" w:hint="eastAsia"/>
          <w:color w:val="000000"/>
          <w:kern w:val="0"/>
          <w:sz w:val="24"/>
          <w:szCs w:val="24"/>
          <w:lang w:val="en"/>
        </w:rPr>
        <w:t xml:space="preserve">　　（一）有组织排放控制指标。烧结机机头、球团焙烧烟气颗粒物、二氧化硫、氮氧化物排放浓度小时均值分别不高于10、35、50毫克/立方米；其他主要污染源颗粒物、二氧化硫、氮氧化物排放浓度小时均值原则上分别不高于10、50、200毫克/立方米，具体指标限值见附表2。达到超低排放的钢铁企业每月至少95%以上时段小时均值排放浓度满足上述要求。</w:t>
      </w:r>
    </w:p>
    <w:p w:rsidR="00C002F5" w:rsidRPr="00C002F5" w:rsidRDefault="00C002F5" w:rsidP="00C002F5">
      <w:pPr>
        <w:widowControl/>
        <w:shd w:val="clear" w:color="auto" w:fill="FFFFFF"/>
        <w:spacing w:line="540" w:lineRule="atLeast"/>
        <w:jc w:val="left"/>
        <w:rPr>
          <w:rFonts w:asciiTheme="minorEastAsia" w:hAnsiTheme="minorEastAsia" w:cs="宋体" w:hint="eastAsia"/>
          <w:color w:val="000000"/>
          <w:kern w:val="0"/>
          <w:sz w:val="24"/>
          <w:szCs w:val="24"/>
          <w:lang w:val="en"/>
        </w:rPr>
      </w:pPr>
      <w:r w:rsidRPr="00C002F5">
        <w:rPr>
          <w:rFonts w:asciiTheme="minorEastAsia" w:hAnsiTheme="minorEastAsia" w:cs="宋体" w:hint="eastAsia"/>
          <w:color w:val="000000"/>
          <w:kern w:val="0"/>
          <w:sz w:val="24"/>
          <w:szCs w:val="24"/>
          <w:lang w:val="en"/>
        </w:rPr>
        <w:t xml:space="preserve">　　（二）无组织排放控制措施。全面加强物料储存、输送及生产工艺过程无组织排放控制，在保障生产安全的前提下，采取密闭、封闭等有效措施（见附表3），有效提高废气收集率，</w:t>
      </w:r>
      <w:proofErr w:type="gramStart"/>
      <w:r w:rsidRPr="00C002F5">
        <w:rPr>
          <w:rFonts w:asciiTheme="minorEastAsia" w:hAnsiTheme="minorEastAsia" w:cs="宋体" w:hint="eastAsia"/>
          <w:color w:val="000000"/>
          <w:kern w:val="0"/>
          <w:sz w:val="24"/>
          <w:szCs w:val="24"/>
          <w:lang w:val="en"/>
        </w:rPr>
        <w:t>产尘点</w:t>
      </w:r>
      <w:proofErr w:type="gramEnd"/>
      <w:r w:rsidRPr="00C002F5">
        <w:rPr>
          <w:rFonts w:asciiTheme="minorEastAsia" w:hAnsiTheme="minorEastAsia" w:cs="宋体" w:hint="eastAsia"/>
          <w:color w:val="000000"/>
          <w:kern w:val="0"/>
          <w:sz w:val="24"/>
          <w:szCs w:val="24"/>
          <w:lang w:val="en"/>
        </w:rPr>
        <w:t>及车间不得有可见烟粉尘外逸。</w:t>
      </w:r>
    </w:p>
    <w:p w:rsidR="00C002F5" w:rsidRPr="00C002F5" w:rsidRDefault="00C002F5" w:rsidP="00C002F5">
      <w:pPr>
        <w:widowControl/>
        <w:shd w:val="clear" w:color="auto" w:fill="FFFFFF"/>
        <w:spacing w:line="540" w:lineRule="atLeast"/>
        <w:jc w:val="left"/>
        <w:rPr>
          <w:rFonts w:asciiTheme="minorEastAsia" w:hAnsiTheme="minorEastAsia" w:cs="宋体" w:hint="eastAsia"/>
          <w:color w:val="000000"/>
          <w:kern w:val="0"/>
          <w:sz w:val="24"/>
          <w:szCs w:val="24"/>
          <w:lang w:val="en"/>
        </w:rPr>
      </w:pPr>
      <w:r w:rsidRPr="00C002F5">
        <w:rPr>
          <w:rFonts w:asciiTheme="minorEastAsia" w:hAnsiTheme="minorEastAsia" w:cs="宋体" w:hint="eastAsia"/>
          <w:color w:val="000000"/>
          <w:kern w:val="0"/>
          <w:sz w:val="24"/>
          <w:szCs w:val="24"/>
          <w:lang w:val="en"/>
        </w:rPr>
        <w:lastRenderedPageBreak/>
        <w:t xml:space="preserve">　　1.物料储存。石灰、除尘灰、脱硫灰、粉煤灰等粉状物料，应采用料仓、储罐等方式密闭储存。铁精矿、煤、焦炭、烧结矿、球团矿、石灰石、白云石、铁合金、钢渣、脱硫石膏等块状或粘湿物料，应采用</w:t>
      </w:r>
      <w:proofErr w:type="gramStart"/>
      <w:r w:rsidRPr="00C002F5">
        <w:rPr>
          <w:rFonts w:asciiTheme="minorEastAsia" w:hAnsiTheme="minorEastAsia" w:cs="宋体" w:hint="eastAsia"/>
          <w:color w:val="000000"/>
          <w:kern w:val="0"/>
          <w:sz w:val="24"/>
          <w:szCs w:val="24"/>
          <w:lang w:val="en"/>
        </w:rPr>
        <w:t>密闭料仓或</w:t>
      </w:r>
      <w:proofErr w:type="gramEnd"/>
      <w:r w:rsidRPr="00C002F5">
        <w:rPr>
          <w:rFonts w:asciiTheme="minorEastAsia" w:hAnsiTheme="minorEastAsia" w:cs="宋体" w:hint="eastAsia"/>
          <w:color w:val="000000"/>
          <w:kern w:val="0"/>
          <w:sz w:val="24"/>
          <w:szCs w:val="24"/>
          <w:lang w:val="en"/>
        </w:rPr>
        <w:t>封闭料棚等方式储存。</w:t>
      </w:r>
      <w:proofErr w:type="gramStart"/>
      <w:r w:rsidRPr="00C002F5">
        <w:rPr>
          <w:rFonts w:asciiTheme="minorEastAsia" w:hAnsiTheme="minorEastAsia" w:cs="宋体" w:hint="eastAsia"/>
          <w:color w:val="000000"/>
          <w:kern w:val="0"/>
          <w:sz w:val="24"/>
          <w:szCs w:val="24"/>
          <w:lang w:val="en"/>
        </w:rPr>
        <w:t>其他干渣</w:t>
      </w:r>
      <w:proofErr w:type="gramEnd"/>
      <w:r w:rsidRPr="00C002F5">
        <w:rPr>
          <w:rFonts w:asciiTheme="minorEastAsia" w:hAnsiTheme="minorEastAsia" w:cs="宋体" w:hint="eastAsia"/>
          <w:color w:val="000000"/>
          <w:kern w:val="0"/>
          <w:sz w:val="24"/>
          <w:szCs w:val="24"/>
          <w:lang w:val="en"/>
        </w:rPr>
        <w:t>堆存应采用喷淋（雾）</w:t>
      </w:r>
      <w:proofErr w:type="gramStart"/>
      <w:r w:rsidRPr="00C002F5">
        <w:rPr>
          <w:rFonts w:asciiTheme="minorEastAsia" w:hAnsiTheme="minorEastAsia" w:cs="宋体" w:hint="eastAsia"/>
          <w:color w:val="000000"/>
          <w:kern w:val="0"/>
          <w:sz w:val="24"/>
          <w:szCs w:val="24"/>
          <w:lang w:val="en"/>
        </w:rPr>
        <w:t>等抑尘</w:t>
      </w:r>
      <w:proofErr w:type="gramEnd"/>
      <w:r w:rsidRPr="00C002F5">
        <w:rPr>
          <w:rFonts w:asciiTheme="minorEastAsia" w:hAnsiTheme="minorEastAsia" w:cs="宋体" w:hint="eastAsia"/>
          <w:color w:val="000000"/>
          <w:kern w:val="0"/>
          <w:sz w:val="24"/>
          <w:szCs w:val="24"/>
          <w:lang w:val="en"/>
        </w:rPr>
        <w:t>措施。</w:t>
      </w:r>
    </w:p>
    <w:p w:rsidR="00C002F5" w:rsidRPr="00C002F5" w:rsidRDefault="00C002F5" w:rsidP="00C002F5">
      <w:pPr>
        <w:widowControl/>
        <w:shd w:val="clear" w:color="auto" w:fill="FFFFFF"/>
        <w:spacing w:line="540" w:lineRule="atLeast"/>
        <w:jc w:val="left"/>
        <w:rPr>
          <w:rFonts w:asciiTheme="minorEastAsia" w:hAnsiTheme="minorEastAsia" w:cs="宋体" w:hint="eastAsia"/>
          <w:color w:val="000000"/>
          <w:kern w:val="0"/>
          <w:sz w:val="24"/>
          <w:szCs w:val="24"/>
          <w:lang w:val="en"/>
        </w:rPr>
      </w:pPr>
      <w:r w:rsidRPr="00C002F5">
        <w:rPr>
          <w:rFonts w:asciiTheme="minorEastAsia" w:hAnsiTheme="minorEastAsia" w:cs="宋体" w:hint="eastAsia"/>
          <w:color w:val="000000"/>
          <w:kern w:val="0"/>
          <w:sz w:val="24"/>
          <w:szCs w:val="24"/>
          <w:lang w:val="en"/>
        </w:rPr>
        <w:t xml:space="preserve">　　2.物料输送。石灰、除尘灰、脱硫灰、粉煤灰等粉状物料，应采用管状带式输送机、气力输送设备、罐车等方式密闭输送。铁精矿、煤、焦炭、烧结矿、球团矿、石灰石、白云石、铁合金、高炉渣、钢渣、脱硫石膏等块状或粘湿物料，应采用管状带式输送机等方式密闭输送，或采用皮带通廊等方式封闭输送；确需汽车运输的，应使用封闭车厢或苫盖严密，装卸车时应采取加湿</w:t>
      </w:r>
      <w:proofErr w:type="gramStart"/>
      <w:r w:rsidRPr="00C002F5">
        <w:rPr>
          <w:rFonts w:asciiTheme="minorEastAsia" w:hAnsiTheme="minorEastAsia" w:cs="宋体" w:hint="eastAsia"/>
          <w:color w:val="000000"/>
          <w:kern w:val="0"/>
          <w:sz w:val="24"/>
          <w:szCs w:val="24"/>
          <w:lang w:val="en"/>
        </w:rPr>
        <w:t>等抑尘</w:t>
      </w:r>
      <w:proofErr w:type="gramEnd"/>
      <w:r w:rsidRPr="00C002F5">
        <w:rPr>
          <w:rFonts w:asciiTheme="minorEastAsia" w:hAnsiTheme="minorEastAsia" w:cs="宋体" w:hint="eastAsia"/>
          <w:color w:val="000000"/>
          <w:kern w:val="0"/>
          <w:sz w:val="24"/>
          <w:szCs w:val="24"/>
          <w:lang w:val="en"/>
        </w:rPr>
        <w:t>措施。物料输送落料点等应配备集气罩和除尘设施，或采取喷雾</w:t>
      </w:r>
      <w:proofErr w:type="gramStart"/>
      <w:r w:rsidRPr="00C002F5">
        <w:rPr>
          <w:rFonts w:asciiTheme="minorEastAsia" w:hAnsiTheme="minorEastAsia" w:cs="宋体" w:hint="eastAsia"/>
          <w:color w:val="000000"/>
          <w:kern w:val="0"/>
          <w:sz w:val="24"/>
          <w:szCs w:val="24"/>
          <w:lang w:val="en"/>
        </w:rPr>
        <w:t>等抑尘</w:t>
      </w:r>
      <w:proofErr w:type="gramEnd"/>
      <w:r w:rsidRPr="00C002F5">
        <w:rPr>
          <w:rFonts w:asciiTheme="minorEastAsia" w:hAnsiTheme="minorEastAsia" w:cs="宋体" w:hint="eastAsia"/>
          <w:color w:val="000000"/>
          <w:kern w:val="0"/>
          <w:sz w:val="24"/>
          <w:szCs w:val="24"/>
          <w:lang w:val="en"/>
        </w:rPr>
        <w:t>措施。料场出口应设置车轮和车身清洗设施。厂区道路应硬化，并采取清扫、洒水等措施，保持清洁。</w:t>
      </w:r>
    </w:p>
    <w:p w:rsidR="00C002F5" w:rsidRPr="00C002F5" w:rsidRDefault="00C002F5" w:rsidP="00C002F5">
      <w:pPr>
        <w:widowControl/>
        <w:shd w:val="clear" w:color="auto" w:fill="FFFFFF"/>
        <w:spacing w:line="540" w:lineRule="atLeast"/>
        <w:jc w:val="left"/>
        <w:rPr>
          <w:rFonts w:asciiTheme="minorEastAsia" w:hAnsiTheme="minorEastAsia" w:cs="宋体" w:hint="eastAsia"/>
          <w:color w:val="000000"/>
          <w:kern w:val="0"/>
          <w:sz w:val="24"/>
          <w:szCs w:val="24"/>
          <w:lang w:val="en"/>
        </w:rPr>
      </w:pPr>
      <w:r w:rsidRPr="00C002F5">
        <w:rPr>
          <w:rFonts w:asciiTheme="minorEastAsia" w:hAnsiTheme="minorEastAsia" w:cs="宋体" w:hint="eastAsia"/>
          <w:color w:val="000000"/>
          <w:kern w:val="0"/>
          <w:sz w:val="24"/>
          <w:szCs w:val="24"/>
          <w:lang w:val="en"/>
        </w:rPr>
        <w:t xml:space="preserve">　　3.生产工艺过程。烧结、球团、炼铁、焦化等工序的物料破碎、筛分、混合等设备应设置密闭罩，并配备除尘设施。烧结机、</w:t>
      </w:r>
      <w:proofErr w:type="gramStart"/>
      <w:r w:rsidRPr="00C002F5">
        <w:rPr>
          <w:rFonts w:asciiTheme="minorEastAsia" w:hAnsiTheme="minorEastAsia" w:cs="宋体" w:hint="eastAsia"/>
          <w:color w:val="000000"/>
          <w:kern w:val="0"/>
          <w:sz w:val="24"/>
          <w:szCs w:val="24"/>
          <w:lang w:val="en"/>
        </w:rPr>
        <w:t>烧结矿环冷机</w:t>
      </w:r>
      <w:proofErr w:type="gramEnd"/>
      <w:r w:rsidRPr="00C002F5">
        <w:rPr>
          <w:rFonts w:asciiTheme="minorEastAsia" w:hAnsiTheme="minorEastAsia" w:cs="宋体" w:hint="eastAsia"/>
          <w:color w:val="000000"/>
          <w:kern w:val="0"/>
          <w:sz w:val="24"/>
          <w:szCs w:val="24"/>
          <w:lang w:val="en"/>
        </w:rPr>
        <w:t>、球团焙烧设备，高炉炉顶上料、矿槽、高炉出铁场，混铁炉、炼钢铁水预处理、转炉、电炉、精炼炉，石灰窑、白云石窑等</w:t>
      </w:r>
      <w:proofErr w:type="gramStart"/>
      <w:r w:rsidRPr="00C002F5">
        <w:rPr>
          <w:rFonts w:asciiTheme="minorEastAsia" w:hAnsiTheme="minorEastAsia" w:cs="宋体" w:hint="eastAsia"/>
          <w:color w:val="000000"/>
          <w:kern w:val="0"/>
          <w:sz w:val="24"/>
          <w:szCs w:val="24"/>
          <w:lang w:val="en"/>
        </w:rPr>
        <w:t>产尘点</w:t>
      </w:r>
      <w:proofErr w:type="gramEnd"/>
      <w:r w:rsidRPr="00C002F5">
        <w:rPr>
          <w:rFonts w:asciiTheme="minorEastAsia" w:hAnsiTheme="minorEastAsia" w:cs="宋体" w:hint="eastAsia"/>
          <w:color w:val="000000"/>
          <w:kern w:val="0"/>
          <w:sz w:val="24"/>
          <w:szCs w:val="24"/>
          <w:lang w:val="en"/>
        </w:rPr>
        <w:t>应全面加强集气能力建设，确保无可见烟粉尘外逸。高炉出铁场平台应封闭或半封闭，铁沟、渣沟应加盖封闭；炼钢车间应封闭，设置</w:t>
      </w:r>
      <w:proofErr w:type="gramStart"/>
      <w:r w:rsidRPr="00C002F5">
        <w:rPr>
          <w:rFonts w:asciiTheme="minorEastAsia" w:hAnsiTheme="minorEastAsia" w:cs="宋体" w:hint="eastAsia"/>
          <w:color w:val="000000"/>
          <w:kern w:val="0"/>
          <w:sz w:val="24"/>
          <w:szCs w:val="24"/>
          <w:lang w:val="en"/>
        </w:rPr>
        <w:t>屋顶罩并配备</w:t>
      </w:r>
      <w:proofErr w:type="gramEnd"/>
      <w:r w:rsidRPr="00C002F5">
        <w:rPr>
          <w:rFonts w:asciiTheme="minorEastAsia" w:hAnsiTheme="minorEastAsia" w:cs="宋体" w:hint="eastAsia"/>
          <w:color w:val="000000"/>
          <w:kern w:val="0"/>
          <w:sz w:val="24"/>
          <w:szCs w:val="24"/>
          <w:lang w:val="en"/>
        </w:rPr>
        <w:t>除尘设施。</w:t>
      </w:r>
      <w:proofErr w:type="gramStart"/>
      <w:r w:rsidRPr="00C002F5">
        <w:rPr>
          <w:rFonts w:asciiTheme="minorEastAsia" w:hAnsiTheme="minorEastAsia" w:cs="宋体" w:hint="eastAsia"/>
          <w:color w:val="000000"/>
          <w:kern w:val="0"/>
          <w:sz w:val="24"/>
          <w:szCs w:val="24"/>
          <w:lang w:val="en"/>
        </w:rPr>
        <w:t>焦炉机侧</w:t>
      </w:r>
      <w:proofErr w:type="gramEnd"/>
      <w:r w:rsidRPr="00C002F5">
        <w:rPr>
          <w:rFonts w:asciiTheme="minorEastAsia" w:hAnsiTheme="minorEastAsia" w:cs="宋体" w:hint="eastAsia"/>
          <w:color w:val="000000"/>
          <w:kern w:val="0"/>
          <w:sz w:val="24"/>
          <w:szCs w:val="24"/>
          <w:lang w:val="en"/>
        </w:rPr>
        <w:t>炉口应设置集气罩，对废气进行收集处理。高炉炉顶料罐均压放散废气应采取回收或净化措施。废钢切割应在封闭空间内进行，设置集气罩，并配备除尘设施。轧钢涂层机组应封闭，并设置废气收集处理设施。</w:t>
      </w:r>
    </w:p>
    <w:p w:rsidR="00C002F5" w:rsidRPr="00C002F5" w:rsidRDefault="00C002F5" w:rsidP="00C002F5">
      <w:pPr>
        <w:widowControl/>
        <w:shd w:val="clear" w:color="auto" w:fill="FFFFFF"/>
        <w:spacing w:line="540" w:lineRule="atLeast"/>
        <w:jc w:val="left"/>
        <w:rPr>
          <w:rFonts w:asciiTheme="minorEastAsia" w:hAnsiTheme="minorEastAsia" w:cs="宋体" w:hint="eastAsia"/>
          <w:color w:val="000000"/>
          <w:kern w:val="0"/>
          <w:sz w:val="24"/>
          <w:szCs w:val="24"/>
          <w:lang w:val="en"/>
        </w:rPr>
      </w:pPr>
      <w:r w:rsidRPr="00C002F5">
        <w:rPr>
          <w:rFonts w:asciiTheme="minorEastAsia" w:hAnsiTheme="minorEastAsia" w:cs="宋体" w:hint="eastAsia"/>
          <w:color w:val="000000"/>
          <w:kern w:val="0"/>
          <w:sz w:val="24"/>
          <w:szCs w:val="24"/>
          <w:lang w:val="en"/>
        </w:rPr>
        <w:t xml:space="preserve">　　焦炉应采用干熄焦工艺。炼焦煤气净化系统</w:t>
      </w:r>
      <w:proofErr w:type="gramStart"/>
      <w:r w:rsidRPr="00C002F5">
        <w:rPr>
          <w:rFonts w:asciiTheme="minorEastAsia" w:hAnsiTheme="minorEastAsia" w:cs="宋体" w:hint="eastAsia"/>
          <w:color w:val="000000"/>
          <w:kern w:val="0"/>
          <w:sz w:val="24"/>
          <w:szCs w:val="24"/>
          <w:lang w:val="en"/>
        </w:rPr>
        <w:t>冷鼓各</w:t>
      </w:r>
      <w:proofErr w:type="gramEnd"/>
      <w:r w:rsidRPr="00C002F5">
        <w:rPr>
          <w:rFonts w:asciiTheme="minorEastAsia" w:hAnsiTheme="minorEastAsia" w:cs="宋体" w:hint="eastAsia"/>
          <w:color w:val="000000"/>
          <w:kern w:val="0"/>
          <w:sz w:val="24"/>
          <w:szCs w:val="24"/>
          <w:lang w:val="en"/>
        </w:rPr>
        <w:t>类贮槽（罐）及其他区域焦油、苯等贮槽（罐）的有机废气应接</w:t>
      </w:r>
      <w:proofErr w:type="gramStart"/>
      <w:r w:rsidRPr="00C002F5">
        <w:rPr>
          <w:rFonts w:asciiTheme="minorEastAsia" w:hAnsiTheme="minorEastAsia" w:cs="宋体" w:hint="eastAsia"/>
          <w:color w:val="000000"/>
          <w:kern w:val="0"/>
          <w:sz w:val="24"/>
          <w:szCs w:val="24"/>
          <w:lang w:val="en"/>
        </w:rPr>
        <w:t>入压力</w:t>
      </w:r>
      <w:proofErr w:type="gramEnd"/>
      <w:r w:rsidRPr="00C002F5">
        <w:rPr>
          <w:rFonts w:asciiTheme="minorEastAsia" w:hAnsiTheme="minorEastAsia" w:cs="宋体" w:hint="eastAsia"/>
          <w:color w:val="000000"/>
          <w:kern w:val="0"/>
          <w:sz w:val="24"/>
          <w:szCs w:val="24"/>
          <w:lang w:val="en"/>
        </w:rPr>
        <w:t>平衡系统或收集净化处理，</w:t>
      </w:r>
      <w:proofErr w:type="gramStart"/>
      <w:r w:rsidRPr="00C002F5">
        <w:rPr>
          <w:rFonts w:asciiTheme="minorEastAsia" w:hAnsiTheme="minorEastAsia" w:cs="宋体" w:hint="eastAsia"/>
          <w:color w:val="000000"/>
          <w:kern w:val="0"/>
          <w:sz w:val="24"/>
          <w:szCs w:val="24"/>
          <w:lang w:val="en"/>
        </w:rPr>
        <w:t>酚</w:t>
      </w:r>
      <w:proofErr w:type="gramEnd"/>
      <w:r w:rsidRPr="00C002F5">
        <w:rPr>
          <w:rFonts w:asciiTheme="minorEastAsia" w:hAnsiTheme="minorEastAsia" w:cs="宋体" w:hint="eastAsia"/>
          <w:color w:val="000000"/>
          <w:kern w:val="0"/>
          <w:sz w:val="24"/>
          <w:szCs w:val="24"/>
          <w:lang w:val="en"/>
        </w:rPr>
        <w:t>氰废水预处理设施（调节池、气浮池、隔油池）应加盖并配备废气收集处理设施，开展设备和管线泄漏检测与修复（LDAR）工作。</w:t>
      </w:r>
    </w:p>
    <w:p w:rsidR="00C002F5" w:rsidRPr="00C002F5" w:rsidRDefault="00C002F5" w:rsidP="00C002F5">
      <w:pPr>
        <w:widowControl/>
        <w:shd w:val="clear" w:color="auto" w:fill="FFFFFF"/>
        <w:spacing w:line="540" w:lineRule="atLeast"/>
        <w:jc w:val="left"/>
        <w:rPr>
          <w:rFonts w:asciiTheme="minorEastAsia" w:hAnsiTheme="minorEastAsia" w:cs="宋体" w:hint="eastAsia"/>
          <w:color w:val="000000"/>
          <w:kern w:val="0"/>
          <w:sz w:val="24"/>
          <w:szCs w:val="24"/>
          <w:lang w:val="en"/>
        </w:rPr>
      </w:pPr>
      <w:r w:rsidRPr="00C002F5">
        <w:rPr>
          <w:rFonts w:asciiTheme="minorEastAsia" w:hAnsiTheme="minorEastAsia" w:cs="宋体" w:hint="eastAsia"/>
          <w:color w:val="000000"/>
          <w:kern w:val="0"/>
          <w:sz w:val="24"/>
          <w:szCs w:val="24"/>
          <w:lang w:val="en"/>
        </w:rPr>
        <w:lastRenderedPageBreak/>
        <w:t xml:space="preserve">　　（三）大宗物料产品清洁运输要求。进出钢铁企业的铁精矿、煤炭、焦炭等大宗物料和产品采用铁路、水路、管道或管状带式输送机等清洁方式运输比例不低于80%；达不到的，汽车运输部分应全部采用新能源汽车或达到国六排放标准的汽车（2021年底前可采用国五排放标准的汽车）。</w:t>
      </w:r>
    </w:p>
    <w:p w:rsidR="00C002F5" w:rsidRPr="00C002F5" w:rsidRDefault="00C002F5" w:rsidP="00C002F5">
      <w:pPr>
        <w:widowControl/>
        <w:shd w:val="clear" w:color="auto" w:fill="FFFFFF"/>
        <w:spacing w:line="540" w:lineRule="atLeast"/>
        <w:jc w:val="left"/>
        <w:rPr>
          <w:rFonts w:asciiTheme="minorEastAsia" w:hAnsiTheme="minorEastAsia" w:cs="宋体" w:hint="eastAsia"/>
          <w:color w:val="000000"/>
          <w:kern w:val="0"/>
          <w:sz w:val="24"/>
          <w:szCs w:val="24"/>
          <w:lang w:val="en"/>
        </w:rPr>
      </w:pPr>
      <w:r w:rsidRPr="00C002F5">
        <w:rPr>
          <w:rFonts w:asciiTheme="minorEastAsia" w:hAnsiTheme="minorEastAsia" w:cs="宋体" w:hint="eastAsia"/>
          <w:color w:val="000000"/>
          <w:kern w:val="0"/>
          <w:sz w:val="24"/>
          <w:szCs w:val="24"/>
          <w:lang w:val="en"/>
        </w:rPr>
        <w:t xml:space="preserve">　　三、重点任务</w:t>
      </w:r>
    </w:p>
    <w:p w:rsidR="00C002F5" w:rsidRPr="00C002F5" w:rsidRDefault="00C002F5" w:rsidP="00C002F5">
      <w:pPr>
        <w:widowControl/>
        <w:shd w:val="clear" w:color="auto" w:fill="FFFFFF"/>
        <w:spacing w:line="540" w:lineRule="atLeast"/>
        <w:jc w:val="left"/>
        <w:rPr>
          <w:rFonts w:asciiTheme="minorEastAsia" w:hAnsiTheme="minorEastAsia" w:cs="宋体" w:hint="eastAsia"/>
          <w:color w:val="000000"/>
          <w:kern w:val="0"/>
          <w:sz w:val="24"/>
          <w:szCs w:val="24"/>
          <w:lang w:val="en"/>
        </w:rPr>
      </w:pPr>
      <w:r w:rsidRPr="00C002F5">
        <w:rPr>
          <w:rFonts w:asciiTheme="minorEastAsia" w:hAnsiTheme="minorEastAsia" w:cs="宋体" w:hint="eastAsia"/>
          <w:color w:val="000000"/>
          <w:kern w:val="0"/>
          <w:sz w:val="24"/>
          <w:szCs w:val="24"/>
          <w:lang w:val="en"/>
        </w:rPr>
        <w:t xml:space="preserve">　　（一）严格新改扩建项目环境准入。严禁新增钢铁冶炼产能，新改扩建（含搬迁）钢铁项目要严格执行产能置换实施办法，按照钢铁企业超低排放指标要求，同步配套建设高效脱硫、脱硝、除尘设施，落实物料储存、输送及生产工艺过程无组织排放管控措施，大宗物料和产品采取清洁方式运输。支持鼓励钢铁冶炼产能向环境容量大、资源保障条件好的地区转移。鼓励重点区域高炉-转炉长流程企业转型为电炉短流程企业，通过工艺改造减少污染物排放，达到超低排放要求。</w:t>
      </w:r>
    </w:p>
    <w:p w:rsidR="00C002F5" w:rsidRPr="00C002F5" w:rsidRDefault="00C002F5" w:rsidP="00C002F5">
      <w:pPr>
        <w:widowControl/>
        <w:shd w:val="clear" w:color="auto" w:fill="FFFFFF"/>
        <w:spacing w:line="540" w:lineRule="atLeast"/>
        <w:jc w:val="left"/>
        <w:rPr>
          <w:rFonts w:asciiTheme="minorEastAsia" w:hAnsiTheme="minorEastAsia" w:cs="宋体" w:hint="eastAsia"/>
          <w:color w:val="000000"/>
          <w:kern w:val="0"/>
          <w:sz w:val="24"/>
          <w:szCs w:val="24"/>
          <w:lang w:val="en"/>
        </w:rPr>
      </w:pPr>
      <w:r w:rsidRPr="00C002F5">
        <w:rPr>
          <w:rFonts w:asciiTheme="minorEastAsia" w:hAnsiTheme="minorEastAsia" w:cs="宋体" w:hint="eastAsia"/>
          <w:color w:val="000000"/>
          <w:kern w:val="0"/>
          <w:sz w:val="24"/>
          <w:szCs w:val="24"/>
          <w:lang w:val="en"/>
        </w:rPr>
        <w:t xml:space="preserve">　　（二）积极有序推进现有钢铁企业超低排放改造。各地应围绕环境空气质量改善需求，按照推进实施钢铁行业超低排放的总体要求，把握好节奏和力度，有序推进钢铁企业超低排放改造。要加强对企业服务和指导，帮助企业合理选择改造技术路线，协调解决清洁运输等重大事项。</w:t>
      </w:r>
    </w:p>
    <w:p w:rsidR="00C002F5" w:rsidRPr="00C002F5" w:rsidRDefault="00C002F5" w:rsidP="00C002F5">
      <w:pPr>
        <w:widowControl/>
        <w:shd w:val="clear" w:color="auto" w:fill="FFFFFF"/>
        <w:spacing w:line="540" w:lineRule="atLeast"/>
        <w:jc w:val="left"/>
        <w:rPr>
          <w:rFonts w:asciiTheme="minorEastAsia" w:hAnsiTheme="minorEastAsia" w:cs="宋体" w:hint="eastAsia"/>
          <w:color w:val="000000"/>
          <w:kern w:val="0"/>
          <w:sz w:val="24"/>
          <w:szCs w:val="24"/>
          <w:lang w:val="en"/>
        </w:rPr>
      </w:pPr>
      <w:r w:rsidRPr="00C002F5">
        <w:rPr>
          <w:rFonts w:asciiTheme="minorEastAsia" w:hAnsiTheme="minorEastAsia" w:cs="宋体" w:hint="eastAsia"/>
          <w:color w:val="000000"/>
          <w:kern w:val="0"/>
          <w:sz w:val="24"/>
          <w:szCs w:val="24"/>
          <w:lang w:val="en"/>
        </w:rPr>
        <w:t xml:space="preserve">　　因厂制宜选择成熟适用的环保改造技术。除尘设施鼓励采用湿式静电除尘器、覆膜滤料袋式除尘器、滤筒除尘器等先进工艺，推进聚四氟乙烯微孔覆膜滤料、超细纤维多梯度面层滤料、金属间化合物多孔（膜）材料等产业化应用；烟气脱硫应实施增容提效改造等措施，提高运行稳定性，取消烟气旁路，鼓励净化处理后</w:t>
      </w:r>
      <w:proofErr w:type="gramStart"/>
      <w:r w:rsidRPr="00C002F5">
        <w:rPr>
          <w:rFonts w:asciiTheme="minorEastAsia" w:hAnsiTheme="minorEastAsia" w:cs="宋体" w:hint="eastAsia"/>
          <w:color w:val="000000"/>
          <w:kern w:val="0"/>
          <w:sz w:val="24"/>
          <w:szCs w:val="24"/>
          <w:lang w:val="en"/>
        </w:rPr>
        <w:t>烟气回</w:t>
      </w:r>
      <w:proofErr w:type="gramEnd"/>
      <w:r w:rsidRPr="00C002F5">
        <w:rPr>
          <w:rFonts w:asciiTheme="minorEastAsia" w:hAnsiTheme="minorEastAsia" w:cs="宋体" w:hint="eastAsia"/>
          <w:color w:val="000000"/>
          <w:kern w:val="0"/>
          <w:sz w:val="24"/>
          <w:szCs w:val="24"/>
          <w:lang w:val="en"/>
        </w:rPr>
        <w:t>原烟囱排放；烟气脱硝应采用活性炭（焦）、选择性催化还原（SCR）等高效脱硝技术。加强源头控制，高炉煤气、焦炉煤气应实施精脱硫，高炉热风炉、轧钢热处理</w:t>
      </w:r>
      <w:proofErr w:type="gramStart"/>
      <w:r w:rsidRPr="00C002F5">
        <w:rPr>
          <w:rFonts w:asciiTheme="minorEastAsia" w:hAnsiTheme="minorEastAsia" w:cs="宋体" w:hint="eastAsia"/>
          <w:color w:val="000000"/>
          <w:kern w:val="0"/>
          <w:sz w:val="24"/>
          <w:szCs w:val="24"/>
          <w:lang w:val="en"/>
        </w:rPr>
        <w:t>炉应采用低氮</w:t>
      </w:r>
      <w:proofErr w:type="gramEnd"/>
      <w:r w:rsidRPr="00C002F5">
        <w:rPr>
          <w:rFonts w:asciiTheme="minorEastAsia" w:hAnsiTheme="minorEastAsia" w:cs="宋体" w:hint="eastAsia"/>
          <w:color w:val="000000"/>
          <w:kern w:val="0"/>
          <w:sz w:val="24"/>
          <w:szCs w:val="24"/>
          <w:lang w:val="en"/>
        </w:rPr>
        <w:t>燃烧技术；鼓励实施烧结机头烟气循环。</w:t>
      </w:r>
    </w:p>
    <w:p w:rsidR="00C002F5" w:rsidRPr="00C002F5" w:rsidRDefault="00C002F5" w:rsidP="00C002F5">
      <w:pPr>
        <w:widowControl/>
        <w:shd w:val="clear" w:color="auto" w:fill="FFFFFF"/>
        <w:spacing w:line="540" w:lineRule="atLeast"/>
        <w:jc w:val="left"/>
        <w:rPr>
          <w:rFonts w:asciiTheme="minorEastAsia" w:hAnsiTheme="minorEastAsia" w:cs="宋体" w:hint="eastAsia"/>
          <w:color w:val="000000"/>
          <w:kern w:val="0"/>
          <w:sz w:val="24"/>
          <w:szCs w:val="24"/>
          <w:lang w:val="en"/>
        </w:rPr>
      </w:pPr>
      <w:r w:rsidRPr="00C002F5">
        <w:rPr>
          <w:rFonts w:asciiTheme="minorEastAsia" w:hAnsiTheme="minorEastAsia" w:cs="宋体" w:hint="eastAsia"/>
          <w:color w:val="000000"/>
          <w:kern w:val="0"/>
          <w:sz w:val="24"/>
          <w:szCs w:val="24"/>
          <w:lang w:val="en"/>
        </w:rPr>
        <w:t xml:space="preserve">　　企业无组织排放控制应采用密闭、封闭等有效管控措施，鼓励采用全封闭机械化料场、筒仓等物料储存方式；</w:t>
      </w:r>
      <w:proofErr w:type="gramStart"/>
      <w:r w:rsidRPr="00C002F5">
        <w:rPr>
          <w:rFonts w:asciiTheme="minorEastAsia" w:hAnsiTheme="minorEastAsia" w:cs="宋体" w:hint="eastAsia"/>
          <w:color w:val="000000"/>
          <w:kern w:val="0"/>
          <w:sz w:val="24"/>
          <w:szCs w:val="24"/>
          <w:lang w:val="en"/>
        </w:rPr>
        <w:t>产尘点</w:t>
      </w:r>
      <w:proofErr w:type="gramEnd"/>
      <w:r w:rsidRPr="00C002F5">
        <w:rPr>
          <w:rFonts w:asciiTheme="minorEastAsia" w:hAnsiTheme="minorEastAsia" w:cs="宋体" w:hint="eastAsia"/>
          <w:color w:val="000000"/>
          <w:kern w:val="0"/>
          <w:sz w:val="24"/>
          <w:szCs w:val="24"/>
          <w:lang w:val="en"/>
        </w:rPr>
        <w:t>应按照“应收尽收”原则配置废气收集</w:t>
      </w:r>
      <w:r w:rsidRPr="00C002F5">
        <w:rPr>
          <w:rFonts w:asciiTheme="minorEastAsia" w:hAnsiTheme="minorEastAsia" w:cs="宋体" w:hint="eastAsia"/>
          <w:color w:val="000000"/>
          <w:kern w:val="0"/>
          <w:sz w:val="24"/>
          <w:szCs w:val="24"/>
          <w:lang w:val="en"/>
        </w:rPr>
        <w:lastRenderedPageBreak/>
        <w:t>设施，强化运行管理，确保收集治理设施与生产工艺设备同步运转。鼓励对焦炉炉体加罩封闭，对废气进行收集处理。</w:t>
      </w:r>
    </w:p>
    <w:p w:rsidR="00C002F5" w:rsidRPr="00C002F5" w:rsidRDefault="00C002F5" w:rsidP="00C002F5">
      <w:pPr>
        <w:widowControl/>
        <w:shd w:val="clear" w:color="auto" w:fill="FFFFFF"/>
        <w:spacing w:line="540" w:lineRule="atLeast"/>
        <w:jc w:val="left"/>
        <w:rPr>
          <w:rFonts w:asciiTheme="minorEastAsia" w:hAnsiTheme="minorEastAsia" w:cs="宋体" w:hint="eastAsia"/>
          <w:color w:val="000000"/>
          <w:kern w:val="0"/>
          <w:sz w:val="24"/>
          <w:szCs w:val="24"/>
          <w:lang w:val="en"/>
        </w:rPr>
      </w:pPr>
      <w:r w:rsidRPr="00C002F5">
        <w:rPr>
          <w:rFonts w:asciiTheme="minorEastAsia" w:hAnsiTheme="minorEastAsia" w:cs="宋体" w:hint="eastAsia"/>
          <w:color w:val="000000"/>
          <w:kern w:val="0"/>
          <w:sz w:val="24"/>
          <w:szCs w:val="24"/>
          <w:lang w:val="en"/>
        </w:rPr>
        <w:t xml:space="preserve">　　企业应通过新建或利用已有铁路专用线、打通与主干线连接等方式，有效增加铁路运力；对短距离运输的大宗物料，鼓励采用管道或管状带式输送机等密闭方式运输。</w:t>
      </w:r>
    </w:p>
    <w:p w:rsidR="00C002F5" w:rsidRPr="00C002F5" w:rsidRDefault="00C002F5" w:rsidP="00C002F5">
      <w:pPr>
        <w:widowControl/>
        <w:shd w:val="clear" w:color="auto" w:fill="FFFFFF"/>
        <w:spacing w:line="540" w:lineRule="atLeast"/>
        <w:jc w:val="left"/>
        <w:rPr>
          <w:rFonts w:asciiTheme="minorEastAsia" w:hAnsiTheme="minorEastAsia" w:cs="宋体" w:hint="eastAsia"/>
          <w:color w:val="000000"/>
          <w:kern w:val="0"/>
          <w:sz w:val="24"/>
          <w:szCs w:val="24"/>
          <w:lang w:val="en"/>
        </w:rPr>
      </w:pPr>
      <w:r w:rsidRPr="00C002F5">
        <w:rPr>
          <w:rFonts w:asciiTheme="minorEastAsia" w:hAnsiTheme="minorEastAsia" w:cs="宋体" w:hint="eastAsia"/>
          <w:color w:val="000000"/>
          <w:kern w:val="0"/>
          <w:sz w:val="24"/>
          <w:szCs w:val="24"/>
          <w:lang w:val="en"/>
        </w:rPr>
        <w:t xml:space="preserve">　　（三）依法依规推进钢铁企业全面达标排放。未实施超低排放改造的钢铁企业，应采取治污设施升级、加强无组织排放管理等措施，确保稳定达到国家或地方大气污染物排放标准，重点区域应按照有关规定执行大气污染</w:t>
      </w:r>
      <w:proofErr w:type="gramStart"/>
      <w:r w:rsidRPr="00C002F5">
        <w:rPr>
          <w:rFonts w:asciiTheme="minorEastAsia" w:hAnsiTheme="minorEastAsia" w:cs="宋体" w:hint="eastAsia"/>
          <w:color w:val="000000"/>
          <w:kern w:val="0"/>
          <w:sz w:val="24"/>
          <w:szCs w:val="24"/>
          <w:lang w:val="en"/>
        </w:rPr>
        <w:t>物特别</w:t>
      </w:r>
      <w:proofErr w:type="gramEnd"/>
      <w:r w:rsidRPr="00C002F5">
        <w:rPr>
          <w:rFonts w:asciiTheme="minorEastAsia" w:hAnsiTheme="minorEastAsia" w:cs="宋体" w:hint="eastAsia"/>
          <w:color w:val="000000"/>
          <w:kern w:val="0"/>
          <w:sz w:val="24"/>
          <w:szCs w:val="24"/>
          <w:lang w:val="en"/>
        </w:rPr>
        <w:t>排放限值。严格钢铁企业排污许可管理，</w:t>
      </w:r>
      <w:proofErr w:type="gramStart"/>
      <w:r w:rsidRPr="00C002F5">
        <w:rPr>
          <w:rFonts w:asciiTheme="minorEastAsia" w:hAnsiTheme="minorEastAsia" w:cs="宋体" w:hint="eastAsia"/>
          <w:color w:val="000000"/>
          <w:kern w:val="0"/>
          <w:sz w:val="24"/>
          <w:szCs w:val="24"/>
          <w:lang w:val="en"/>
        </w:rPr>
        <w:t>加大依证监管</w:t>
      </w:r>
      <w:proofErr w:type="gramEnd"/>
      <w:r w:rsidRPr="00C002F5">
        <w:rPr>
          <w:rFonts w:asciiTheme="minorEastAsia" w:hAnsiTheme="minorEastAsia" w:cs="宋体" w:hint="eastAsia"/>
          <w:color w:val="000000"/>
          <w:kern w:val="0"/>
          <w:sz w:val="24"/>
          <w:szCs w:val="24"/>
          <w:lang w:val="en"/>
        </w:rPr>
        <w:t>执法和处罚力度，确保排污单位落实持证排污、按证排污的环境管理主体责任。不能按证排污的，实施限期治理，按照“一厂</w:t>
      </w:r>
      <w:proofErr w:type="gramStart"/>
      <w:r w:rsidRPr="00C002F5">
        <w:rPr>
          <w:rFonts w:asciiTheme="minorEastAsia" w:hAnsiTheme="minorEastAsia" w:cs="宋体" w:hint="eastAsia"/>
          <w:color w:val="000000"/>
          <w:kern w:val="0"/>
          <w:sz w:val="24"/>
          <w:szCs w:val="24"/>
          <w:lang w:val="en"/>
        </w:rPr>
        <w:t>一</w:t>
      </w:r>
      <w:proofErr w:type="gramEnd"/>
      <w:r w:rsidRPr="00C002F5">
        <w:rPr>
          <w:rFonts w:asciiTheme="minorEastAsia" w:hAnsiTheme="minorEastAsia" w:cs="宋体" w:hint="eastAsia"/>
          <w:color w:val="000000"/>
          <w:kern w:val="0"/>
          <w:sz w:val="24"/>
          <w:szCs w:val="24"/>
          <w:lang w:val="en"/>
        </w:rPr>
        <w:t>策”原则，逐一明确时间表和路线图，逾期仍不能满足要求的，依法依规从严处罚。未取得排污许可证的，依法依规实施停产整治或责令关停。</w:t>
      </w:r>
    </w:p>
    <w:p w:rsidR="00C002F5" w:rsidRPr="00C002F5" w:rsidRDefault="00C002F5" w:rsidP="00C002F5">
      <w:pPr>
        <w:widowControl/>
        <w:shd w:val="clear" w:color="auto" w:fill="FFFFFF"/>
        <w:spacing w:line="540" w:lineRule="atLeast"/>
        <w:jc w:val="left"/>
        <w:rPr>
          <w:rFonts w:asciiTheme="minorEastAsia" w:hAnsiTheme="minorEastAsia" w:cs="宋体" w:hint="eastAsia"/>
          <w:color w:val="000000"/>
          <w:kern w:val="0"/>
          <w:sz w:val="24"/>
          <w:szCs w:val="24"/>
          <w:lang w:val="en"/>
        </w:rPr>
      </w:pPr>
      <w:r w:rsidRPr="00C002F5">
        <w:rPr>
          <w:rFonts w:asciiTheme="minorEastAsia" w:hAnsiTheme="minorEastAsia" w:cs="宋体" w:hint="eastAsia"/>
          <w:color w:val="000000"/>
          <w:kern w:val="0"/>
          <w:sz w:val="24"/>
          <w:szCs w:val="24"/>
          <w:lang w:val="en"/>
        </w:rPr>
        <w:t xml:space="preserve">　　（四）依法依规淘汰落后产能和不符合相关强制性标准要求的生产设施。修订《产业结构调整指导目录》，提高重点区域钢铁行业落后产能淘汰标准，有条件的地区可制定标准更高的落后产能淘汰政策。严格执行质量、环保、能耗、安全等法规标准，促使一批经整改仍达不到要求的产能依法依规关停退出。列入淘汰计划的企业或设施不再要求实施超低排放改造。严防“地条钢”死灰复燃。加大重点区域钢铁产能压减力度，河北省2020年钢铁产能控制在2亿吨以内。列入去产能计划的钢铁企业，需一并退出配套的烧结、焦炉、高炉等设备。重点区域城市钢铁企业要切实采取彻底关停、转型发展、就地改造、域外搬迁等方式，推动转型升级。</w:t>
      </w:r>
    </w:p>
    <w:p w:rsidR="00C002F5" w:rsidRPr="00C002F5" w:rsidRDefault="00C002F5" w:rsidP="00C002F5">
      <w:pPr>
        <w:widowControl/>
        <w:shd w:val="clear" w:color="auto" w:fill="FFFFFF"/>
        <w:spacing w:line="540" w:lineRule="atLeast"/>
        <w:jc w:val="left"/>
        <w:rPr>
          <w:rFonts w:asciiTheme="minorEastAsia" w:hAnsiTheme="minorEastAsia" w:cs="宋体" w:hint="eastAsia"/>
          <w:color w:val="000000"/>
          <w:kern w:val="0"/>
          <w:sz w:val="24"/>
          <w:szCs w:val="24"/>
          <w:lang w:val="en"/>
        </w:rPr>
      </w:pPr>
      <w:r w:rsidRPr="00C002F5">
        <w:rPr>
          <w:rFonts w:asciiTheme="minorEastAsia" w:hAnsiTheme="minorEastAsia" w:cs="宋体" w:hint="eastAsia"/>
          <w:color w:val="000000"/>
          <w:kern w:val="0"/>
          <w:sz w:val="24"/>
          <w:szCs w:val="24"/>
          <w:lang w:val="en"/>
        </w:rPr>
        <w:t xml:space="preserve">　　（五）加强企业污染排放监测监控。钢铁企业应依法全面加强污染排放自动监控设施等建设，并与生态环境及有关部门联网，按照钢铁工业及炼焦化学工业自行监测技术指南要求，编制自行监测方案，开展自行监测，如实向社会公开监测信息。</w:t>
      </w:r>
    </w:p>
    <w:p w:rsidR="00C002F5" w:rsidRPr="00C002F5" w:rsidRDefault="00C002F5" w:rsidP="00C002F5">
      <w:pPr>
        <w:widowControl/>
        <w:shd w:val="clear" w:color="auto" w:fill="FFFFFF"/>
        <w:spacing w:line="540" w:lineRule="atLeast"/>
        <w:jc w:val="left"/>
        <w:rPr>
          <w:rFonts w:asciiTheme="minorEastAsia" w:hAnsiTheme="minorEastAsia" w:cs="宋体" w:hint="eastAsia"/>
          <w:color w:val="000000"/>
          <w:kern w:val="0"/>
          <w:sz w:val="24"/>
          <w:szCs w:val="24"/>
          <w:lang w:val="en"/>
        </w:rPr>
      </w:pPr>
      <w:r w:rsidRPr="00C002F5">
        <w:rPr>
          <w:rFonts w:asciiTheme="minorEastAsia" w:hAnsiTheme="minorEastAsia" w:cs="宋体" w:hint="eastAsia"/>
          <w:color w:val="000000"/>
          <w:kern w:val="0"/>
          <w:sz w:val="24"/>
          <w:szCs w:val="24"/>
          <w:lang w:val="en"/>
        </w:rPr>
        <w:lastRenderedPageBreak/>
        <w:t xml:space="preserve">　　实施超低排放改造的钢铁企业，应全面加强自动监控、过程监控和视频监控设施建设。烧结机机头、烧结机机尾、球团焙烧、焦炉烟囱、装煤地面站、推焦地面站、干法熄焦地面站、高炉矿槽、高炉出铁场、铁水预处理、转炉二次烟气、电炉烟气、石灰窑、白云石窑、燃用发生炉煤气的轧钢热处理炉、自备电站排气筒等均应安装自动监控设施。上述污染源污染治理设施应安装分布式控制系统（DCS），记录企业环保设施运行及相关生产过程主要参数。料场出入口、焦炉炉体、</w:t>
      </w:r>
      <w:proofErr w:type="gramStart"/>
      <w:r w:rsidRPr="00C002F5">
        <w:rPr>
          <w:rFonts w:asciiTheme="minorEastAsia" w:hAnsiTheme="minorEastAsia" w:cs="宋体" w:hint="eastAsia"/>
          <w:color w:val="000000"/>
          <w:kern w:val="0"/>
          <w:sz w:val="24"/>
          <w:szCs w:val="24"/>
          <w:lang w:val="en"/>
        </w:rPr>
        <w:t>烧结环冷区域</w:t>
      </w:r>
      <w:proofErr w:type="gramEnd"/>
      <w:r w:rsidRPr="00C002F5">
        <w:rPr>
          <w:rFonts w:asciiTheme="minorEastAsia" w:hAnsiTheme="minorEastAsia" w:cs="宋体" w:hint="eastAsia"/>
          <w:color w:val="000000"/>
          <w:kern w:val="0"/>
          <w:sz w:val="24"/>
          <w:szCs w:val="24"/>
          <w:lang w:val="en"/>
        </w:rPr>
        <w:t>、高炉矿槽和炉顶区域、炼钢车间顶部等易</w:t>
      </w:r>
      <w:proofErr w:type="gramStart"/>
      <w:r w:rsidRPr="00C002F5">
        <w:rPr>
          <w:rFonts w:asciiTheme="minorEastAsia" w:hAnsiTheme="minorEastAsia" w:cs="宋体" w:hint="eastAsia"/>
          <w:color w:val="000000"/>
          <w:kern w:val="0"/>
          <w:sz w:val="24"/>
          <w:szCs w:val="24"/>
          <w:lang w:val="en"/>
        </w:rPr>
        <w:t>产尘点</w:t>
      </w:r>
      <w:proofErr w:type="gramEnd"/>
      <w:r w:rsidRPr="00C002F5">
        <w:rPr>
          <w:rFonts w:asciiTheme="minorEastAsia" w:hAnsiTheme="minorEastAsia" w:cs="宋体" w:hint="eastAsia"/>
          <w:color w:val="000000"/>
          <w:kern w:val="0"/>
          <w:sz w:val="24"/>
          <w:szCs w:val="24"/>
          <w:lang w:val="en"/>
        </w:rPr>
        <w:t>，应安装高清视频监控设施。在厂区内主要</w:t>
      </w:r>
      <w:proofErr w:type="gramStart"/>
      <w:r w:rsidRPr="00C002F5">
        <w:rPr>
          <w:rFonts w:asciiTheme="minorEastAsia" w:hAnsiTheme="minorEastAsia" w:cs="宋体" w:hint="eastAsia"/>
          <w:color w:val="000000"/>
          <w:kern w:val="0"/>
          <w:sz w:val="24"/>
          <w:szCs w:val="24"/>
          <w:lang w:val="en"/>
        </w:rPr>
        <w:t>产尘点</w:t>
      </w:r>
      <w:proofErr w:type="gramEnd"/>
      <w:r w:rsidRPr="00C002F5">
        <w:rPr>
          <w:rFonts w:asciiTheme="minorEastAsia" w:hAnsiTheme="minorEastAsia" w:cs="宋体" w:hint="eastAsia"/>
          <w:color w:val="000000"/>
          <w:kern w:val="0"/>
          <w:sz w:val="24"/>
          <w:szCs w:val="24"/>
          <w:lang w:val="en"/>
        </w:rPr>
        <w:t>周边、运输道路两侧布设空气质量监测微站点，监控颗粒物等管控情况。建设门禁系统和视频监控系统，监控运输车辆进出厂区情况。自动监控、DCS监控等数据至少要保存一年以上，视频监控数据至少要保存三个月以上。</w:t>
      </w:r>
    </w:p>
    <w:p w:rsidR="00C002F5" w:rsidRPr="00C002F5" w:rsidRDefault="00C002F5" w:rsidP="00C002F5">
      <w:pPr>
        <w:widowControl/>
        <w:shd w:val="clear" w:color="auto" w:fill="FFFFFF"/>
        <w:spacing w:line="540" w:lineRule="atLeast"/>
        <w:jc w:val="left"/>
        <w:rPr>
          <w:rFonts w:asciiTheme="minorEastAsia" w:hAnsiTheme="minorEastAsia" w:cs="宋体" w:hint="eastAsia"/>
          <w:color w:val="000000"/>
          <w:kern w:val="0"/>
          <w:sz w:val="24"/>
          <w:szCs w:val="24"/>
          <w:lang w:val="en"/>
        </w:rPr>
      </w:pPr>
      <w:r w:rsidRPr="00C002F5">
        <w:rPr>
          <w:rFonts w:asciiTheme="minorEastAsia" w:hAnsiTheme="minorEastAsia" w:cs="宋体" w:hint="eastAsia"/>
          <w:color w:val="000000"/>
          <w:kern w:val="0"/>
          <w:sz w:val="24"/>
          <w:szCs w:val="24"/>
          <w:lang w:val="en"/>
        </w:rPr>
        <w:t xml:space="preserve">　　四、政策措施</w:t>
      </w:r>
    </w:p>
    <w:p w:rsidR="00C002F5" w:rsidRPr="00C002F5" w:rsidRDefault="00C002F5" w:rsidP="00C002F5">
      <w:pPr>
        <w:widowControl/>
        <w:shd w:val="clear" w:color="auto" w:fill="FFFFFF"/>
        <w:spacing w:line="540" w:lineRule="atLeast"/>
        <w:jc w:val="left"/>
        <w:rPr>
          <w:rFonts w:asciiTheme="minorEastAsia" w:hAnsiTheme="minorEastAsia" w:cs="宋体" w:hint="eastAsia"/>
          <w:color w:val="000000"/>
          <w:kern w:val="0"/>
          <w:sz w:val="24"/>
          <w:szCs w:val="24"/>
          <w:lang w:val="en"/>
        </w:rPr>
      </w:pPr>
      <w:r w:rsidRPr="00C002F5">
        <w:rPr>
          <w:rFonts w:asciiTheme="minorEastAsia" w:hAnsiTheme="minorEastAsia" w:cs="宋体" w:hint="eastAsia"/>
          <w:color w:val="000000"/>
          <w:kern w:val="0"/>
          <w:sz w:val="24"/>
          <w:szCs w:val="24"/>
          <w:lang w:val="en"/>
        </w:rPr>
        <w:t xml:space="preserve">　　钢铁企业达标排放是法定责任，超低排放是鼓励导向，对于完成超低排放改造的钢铁企业应加大政策支持力度。</w:t>
      </w:r>
    </w:p>
    <w:p w:rsidR="00C002F5" w:rsidRPr="00C002F5" w:rsidRDefault="00C002F5" w:rsidP="00C002F5">
      <w:pPr>
        <w:widowControl/>
        <w:shd w:val="clear" w:color="auto" w:fill="FFFFFF"/>
        <w:spacing w:line="540" w:lineRule="atLeast"/>
        <w:jc w:val="left"/>
        <w:rPr>
          <w:rFonts w:asciiTheme="minorEastAsia" w:hAnsiTheme="minorEastAsia" w:cs="宋体" w:hint="eastAsia"/>
          <w:color w:val="000000"/>
          <w:kern w:val="0"/>
          <w:sz w:val="24"/>
          <w:szCs w:val="24"/>
          <w:lang w:val="en"/>
        </w:rPr>
      </w:pPr>
      <w:r w:rsidRPr="00C002F5">
        <w:rPr>
          <w:rFonts w:asciiTheme="minorEastAsia" w:hAnsiTheme="minorEastAsia" w:cs="宋体" w:hint="eastAsia"/>
          <w:color w:val="000000"/>
          <w:kern w:val="0"/>
          <w:sz w:val="24"/>
          <w:szCs w:val="24"/>
          <w:lang w:val="en"/>
        </w:rPr>
        <w:t xml:space="preserve">　　（一）严格执行环境保护有关税法。按照环境保护税法有关条款规定，对符合超低排放条件的钢铁企业给予税收优惠待遇。应税大气污染物排放浓度低于污染物排放标准百分之三十的，减按百分之七十五征收环境保护税；低于百分之五十的，减按百分之五十征收环境保护税。落实购置环境保护专用设备企业所得税抵免优惠政策。</w:t>
      </w:r>
    </w:p>
    <w:p w:rsidR="00C002F5" w:rsidRPr="00C002F5" w:rsidRDefault="00C002F5" w:rsidP="00C002F5">
      <w:pPr>
        <w:widowControl/>
        <w:shd w:val="clear" w:color="auto" w:fill="FFFFFF"/>
        <w:spacing w:line="540" w:lineRule="atLeast"/>
        <w:jc w:val="left"/>
        <w:rPr>
          <w:rFonts w:asciiTheme="minorEastAsia" w:hAnsiTheme="minorEastAsia" w:cs="宋体" w:hint="eastAsia"/>
          <w:color w:val="000000"/>
          <w:kern w:val="0"/>
          <w:sz w:val="24"/>
          <w:szCs w:val="24"/>
          <w:lang w:val="en"/>
        </w:rPr>
      </w:pPr>
      <w:r w:rsidRPr="00C002F5">
        <w:rPr>
          <w:rFonts w:asciiTheme="minorEastAsia" w:hAnsiTheme="minorEastAsia" w:cs="宋体" w:hint="eastAsia"/>
          <w:color w:val="000000"/>
          <w:kern w:val="0"/>
          <w:sz w:val="24"/>
          <w:szCs w:val="24"/>
          <w:lang w:val="en"/>
        </w:rPr>
        <w:t xml:space="preserve">　　（二）给予奖励和信贷融资支持。地方可根据实际情况，对完成超低排放改造的钢铁企业给予奖励。企业通过超低排放改造形成的富余排污权，可用于市场交易。支持符合条件的钢铁企业发行企业债券进行直接融资，募集资金用于超低排放改造等领域。</w:t>
      </w:r>
    </w:p>
    <w:p w:rsidR="00C002F5" w:rsidRPr="00C002F5" w:rsidRDefault="00C002F5" w:rsidP="00C002F5">
      <w:pPr>
        <w:widowControl/>
        <w:shd w:val="clear" w:color="auto" w:fill="FFFFFF"/>
        <w:spacing w:line="540" w:lineRule="atLeast"/>
        <w:jc w:val="left"/>
        <w:rPr>
          <w:rFonts w:asciiTheme="minorEastAsia" w:hAnsiTheme="minorEastAsia" w:cs="宋体" w:hint="eastAsia"/>
          <w:color w:val="000000"/>
          <w:kern w:val="0"/>
          <w:sz w:val="24"/>
          <w:szCs w:val="24"/>
          <w:lang w:val="en"/>
        </w:rPr>
      </w:pPr>
      <w:r w:rsidRPr="00C002F5">
        <w:rPr>
          <w:rFonts w:asciiTheme="minorEastAsia" w:hAnsiTheme="minorEastAsia" w:cs="宋体" w:hint="eastAsia"/>
          <w:color w:val="000000"/>
          <w:kern w:val="0"/>
          <w:sz w:val="24"/>
          <w:szCs w:val="24"/>
          <w:lang w:val="en"/>
        </w:rPr>
        <w:t xml:space="preserve">　　（三）实施差别化电价政策。严格落实钢铁行业差别化电价政策。对逾期未完成超低排放改造的钢铁企业，省级政府可在现行目录销售电价或交易电价基础</w:t>
      </w:r>
      <w:r w:rsidRPr="00C002F5">
        <w:rPr>
          <w:rFonts w:asciiTheme="minorEastAsia" w:hAnsiTheme="minorEastAsia" w:cs="宋体" w:hint="eastAsia"/>
          <w:color w:val="000000"/>
          <w:kern w:val="0"/>
          <w:sz w:val="24"/>
          <w:szCs w:val="24"/>
          <w:lang w:val="en"/>
        </w:rPr>
        <w:lastRenderedPageBreak/>
        <w:t>上实行加价政策。有条件的地区应研究建立基于钢铁企业污染物排放绩效的差别化电价政策，推动钢铁企业超低排放改造。</w:t>
      </w:r>
    </w:p>
    <w:p w:rsidR="00C002F5" w:rsidRPr="00C002F5" w:rsidRDefault="00C002F5" w:rsidP="00C002F5">
      <w:pPr>
        <w:widowControl/>
        <w:shd w:val="clear" w:color="auto" w:fill="FFFFFF"/>
        <w:spacing w:line="540" w:lineRule="atLeast"/>
        <w:jc w:val="left"/>
        <w:rPr>
          <w:rFonts w:asciiTheme="minorEastAsia" w:hAnsiTheme="minorEastAsia" w:cs="宋体" w:hint="eastAsia"/>
          <w:color w:val="000000"/>
          <w:kern w:val="0"/>
          <w:sz w:val="24"/>
          <w:szCs w:val="24"/>
          <w:lang w:val="en"/>
        </w:rPr>
      </w:pPr>
      <w:r w:rsidRPr="00C002F5">
        <w:rPr>
          <w:rFonts w:asciiTheme="minorEastAsia" w:hAnsiTheme="minorEastAsia" w:cs="宋体" w:hint="eastAsia"/>
          <w:color w:val="000000"/>
          <w:kern w:val="0"/>
          <w:sz w:val="24"/>
          <w:szCs w:val="24"/>
          <w:lang w:val="en"/>
        </w:rPr>
        <w:t xml:space="preserve">　　（四）实行差别化环保管理政策。在重污染天气预警期间，对钢铁企业实施差别化应急减排措施。其中，橙色及以上预警期间，未完成超低排放改造的，烧结、球团、炼焦、石灰窑等高排放工序应采取停限产措施。重点区域内要进一步强化差别化管理，未完成超低排放改造的，在黄色预警期间，烧结、球团、石灰窑等高排放工序限产一半；在橙色及以上预警期间，烧结、球团、石灰窑等高排放工序全部停产，炼焦工序延长出焦时间，不可豁免。当预测到月度有3次及以上橙色或红色重污染天气过程时，未完成超低排放改造的，实行月度停产。</w:t>
      </w:r>
    </w:p>
    <w:p w:rsidR="00C002F5" w:rsidRPr="00C002F5" w:rsidRDefault="00C002F5" w:rsidP="00C002F5">
      <w:pPr>
        <w:widowControl/>
        <w:shd w:val="clear" w:color="auto" w:fill="FFFFFF"/>
        <w:spacing w:line="540" w:lineRule="atLeast"/>
        <w:jc w:val="left"/>
        <w:rPr>
          <w:rFonts w:asciiTheme="minorEastAsia" w:hAnsiTheme="minorEastAsia" w:cs="宋体" w:hint="eastAsia"/>
          <w:color w:val="000000"/>
          <w:kern w:val="0"/>
          <w:sz w:val="24"/>
          <w:szCs w:val="24"/>
          <w:lang w:val="en"/>
        </w:rPr>
      </w:pPr>
      <w:r w:rsidRPr="00C002F5">
        <w:rPr>
          <w:rFonts w:asciiTheme="minorEastAsia" w:hAnsiTheme="minorEastAsia" w:cs="宋体" w:hint="eastAsia"/>
          <w:color w:val="000000"/>
          <w:kern w:val="0"/>
          <w:sz w:val="24"/>
          <w:szCs w:val="24"/>
          <w:lang w:val="en"/>
        </w:rPr>
        <w:t xml:space="preserve">　　未实现清洁运输的钢铁企业要制定错峰运输方案，纳入重污染天气应急预案中。重点区域内的钢铁企业，除采用新能源汽车或达到国六排放标准的汽车外，在橙色及以上预警期间，原则上重型载货车停止运输。</w:t>
      </w:r>
    </w:p>
    <w:p w:rsidR="00C002F5" w:rsidRPr="00C002F5" w:rsidRDefault="00C002F5" w:rsidP="00C002F5">
      <w:pPr>
        <w:widowControl/>
        <w:shd w:val="clear" w:color="auto" w:fill="FFFFFF"/>
        <w:spacing w:line="540" w:lineRule="atLeast"/>
        <w:jc w:val="left"/>
        <w:rPr>
          <w:rFonts w:asciiTheme="minorEastAsia" w:hAnsiTheme="minorEastAsia" w:cs="宋体" w:hint="eastAsia"/>
          <w:color w:val="000000"/>
          <w:kern w:val="0"/>
          <w:sz w:val="24"/>
          <w:szCs w:val="24"/>
          <w:lang w:val="en"/>
        </w:rPr>
      </w:pPr>
      <w:r w:rsidRPr="00C002F5">
        <w:rPr>
          <w:rFonts w:asciiTheme="minorEastAsia" w:hAnsiTheme="minorEastAsia" w:cs="宋体" w:hint="eastAsia"/>
          <w:color w:val="000000"/>
          <w:kern w:val="0"/>
          <w:sz w:val="24"/>
          <w:szCs w:val="24"/>
          <w:lang w:val="en"/>
        </w:rPr>
        <w:t xml:space="preserve">　　（五）加强技术支持。生态环境部等研究制定钢铁行业超低排放改造相关技术指导文件，适时修订钢铁工业大气污染物排放标准。鼓励大气污染严重地区出台钢铁工业大气污染物超低排放标准。支持钢铁企业与高校、科研机构、环保工程技术公司等合作，创新节能减排技术。鼓励行业协会等搭建钢铁企业超低排放改造交流平台，促进成熟先进技术推广应用。</w:t>
      </w:r>
    </w:p>
    <w:p w:rsidR="00C002F5" w:rsidRPr="00C002F5" w:rsidRDefault="00C002F5" w:rsidP="00C002F5">
      <w:pPr>
        <w:widowControl/>
        <w:shd w:val="clear" w:color="auto" w:fill="FFFFFF"/>
        <w:spacing w:line="540" w:lineRule="atLeast"/>
        <w:jc w:val="left"/>
        <w:rPr>
          <w:rFonts w:asciiTheme="minorEastAsia" w:hAnsiTheme="minorEastAsia" w:cs="宋体" w:hint="eastAsia"/>
          <w:color w:val="000000"/>
          <w:kern w:val="0"/>
          <w:sz w:val="24"/>
          <w:szCs w:val="24"/>
          <w:lang w:val="en"/>
        </w:rPr>
      </w:pPr>
      <w:r w:rsidRPr="00C002F5">
        <w:rPr>
          <w:rFonts w:asciiTheme="minorEastAsia" w:hAnsiTheme="minorEastAsia" w:cs="宋体" w:hint="eastAsia"/>
          <w:color w:val="000000"/>
          <w:kern w:val="0"/>
          <w:sz w:val="24"/>
          <w:szCs w:val="24"/>
          <w:lang w:val="en"/>
        </w:rPr>
        <w:t xml:space="preserve">　　五、实施保障</w:t>
      </w:r>
    </w:p>
    <w:p w:rsidR="00C002F5" w:rsidRPr="00C002F5" w:rsidRDefault="00C002F5" w:rsidP="00C002F5">
      <w:pPr>
        <w:widowControl/>
        <w:shd w:val="clear" w:color="auto" w:fill="FFFFFF"/>
        <w:spacing w:line="540" w:lineRule="atLeast"/>
        <w:jc w:val="left"/>
        <w:rPr>
          <w:rFonts w:asciiTheme="minorEastAsia" w:hAnsiTheme="minorEastAsia" w:cs="宋体" w:hint="eastAsia"/>
          <w:color w:val="000000"/>
          <w:kern w:val="0"/>
          <w:sz w:val="24"/>
          <w:szCs w:val="24"/>
          <w:lang w:val="en"/>
        </w:rPr>
      </w:pPr>
      <w:r w:rsidRPr="00C002F5">
        <w:rPr>
          <w:rFonts w:asciiTheme="minorEastAsia" w:hAnsiTheme="minorEastAsia" w:cs="宋体" w:hint="eastAsia"/>
          <w:color w:val="000000"/>
          <w:kern w:val="0"/>
          <w:sz w:val="24"/>
          <w:szCs w:val="24"/>
          <w:lang w:val="en"/>
        </w:rPr>
        <w:t xml:space="preserve">　　（一）加强组织领导。生态环境部、发展改革委、工业和信息化部、财政部、交通运输部、铁路总公司等共同组织实施本意见，各有关部门各司其职、各负其责、密切配合，形成工作合力，加强对地方工作指导，及时协调解决推进过程中的困难和问题。生态环境部会同有关部门建立钢铁行业超低排放改造管理台账。</w:t>
      </w:r>
    </w:p>
    <w:p w:rsidR="00C002F5" w:rsidRPr="00C002F5" w:rsidRDefault="00C002F5" w:rsidP="00C002F5">
      <w:pPr>
        <w:widowControl/>
        <w:shd w:val="clear" w:color="auto" w:fill="FFFFFF"/>
        <w:spacing w:line="540" w:lineRule="atLeast"/>
        <w:jc w:val="left"/>
        <w:rPr>
          <w:rFonts w:asciiTheme="minorEastAsia" w:hAnsiTheme="minorEastAsia" w:cs="宋体" w:hint="eastAsia"/>
          <w:color w:val="000000"/>
          <w:kern w:val="0"/>
          <w:sz w:val="24"/>
          <w:szCs w:val="24"/>
          <w:lang w:val="en"/>
        </w:rPr>
      </w:pPr>
      <w:r w:rsidRPr="00C002F5">
        <w:rPr>
          <w:rFonts w:asciiTheme="minorEastAsia" w:hAnsiTheme="minorEastAsia" w:cs="宋体" w:hint="eastAsia"/>
          <w:color w:val="000000"/>
          <w:kern w:val="0"/>
          <w:sz w:val="24"/>
          <w:szCs w:val="24"/>
          <w:lang w:val="en"/>
        </w:rPr>
        <w:t xml:space="preserve">　　各地要加强组织领导，做好监督、管理和服务工作。各省（区、市）应制定本地钢铁行业超低排放改造计划方案，确定年度重点改造项目，于2019年7月底前报送生态环境部、工业和信息化部、发展改革委等部门。每年1月和7月，</w:t>
      </w:r>
      <w:r w:rsidRPr="00C002F5">
        <w:rPr>
          <w:rFonts w:asciiTheme="minorEastAsia" w:hAnsiTheme="minorEastAsia" w:cs="宋体" w:hint="eastAsia"/>
          <w:color w:val="000000"/>
          <w:kern w:val="0"/>
          <w:sz w:val="24"/>
          <w:szCs w:val="24"/>
          <w:lang w:val="en"/>
        </w:rPr>
        <w:lastRenderedPageBreak/>
        <w:t>省级相关部门将本地钢铁行业超低排放改造进展情况及主要做法及时报送生态环境部、工业和信息化部、发展改革委等部门。</w:t>
      </w:r>
    </w:p>
    <w:p w:rsidR="00C002F5" w:rsidRPr="00C002F5" w:rsidRDefault="00C002F5" w:rsidP="00C002F5">
      <w:pPr>
        <w:widowControl/>
        <w:shd w:val="clear" w:color="auto" w:fill="FFFFFF"/>
        <w:spacing w:line="540" w:lineRule="atLeast"/>
        <w:jc w:val="left"/>
        <w:rPr>
          <w:rFonts w:asciiTheme="minorEastAsia" w:hAnsiTheme="minorEastAsia" w:cs="宋体" w:hint="eastAsia"/>
          <w:color w:val="000000"/>
          <w:kern w:val="0"/>
          <w:sz w:val="24"/>
          <w:szCs w:val="24"/>
          <w:lang w:val="en"/>
        </w:rPr>
      </w:pPr>
      <w:r w:rsidRPr="00C002F5">
        <w:rPr>
          <w:rFonts w:asciiTheme="minorEastAsia" w:hAnsiTheme="minorEastAsia" w:cs="宋体" w:hint="eastAsia"/>
          <w:color w:val="000000"/>
          <w:kern w:val="0"/>
          <w:sz w:val="24"/>
          <w:szCs w:val="24"/>
          <w:lang w:val="en"/>
        </w:rPr>
        <w:t xml:space="preserve">　　（二）强化企业主体责任。钢铁企业是实施超低排放改造的责任主体，要按照国家和地方有关要求制定具体工作方案，成立以企业主要负责人为组长的专项工作组，确保按期完成改造任务。企业应加大资金投入，严把工程质量，加强人员技术培训，健全内部环保考核管理机制，确保治理设施长期连续稳定运行；企业有自备油库的，要确保供应合格油品。国有大型钢铁企业集团要发挥表率作用，及时将改造目标任务分解落实到具体企业，力争提前完成。</w:t>
      </w:r>
    </w:p>
    <w:p w:rsidR="00C002F5" w:rsidRPr="00C002F5" w:rsidRDefault="00C002F5" w:rsidP="00C002F5">
      <w:pPr>
        <w:widowControl/>
        <w:shd w:val="clear" w:color="auto" w:fill="FFFFFF"/>
        <w:spacing w:line="540" w:lineRule="atLeast"/>
        <w:jc w:val="left"/>
        <w:rPr>
          <w:rFonts w:asciiTheme="minorEastAsia" w:hAnsiTheme="minorEastAsia" w:cs="宋体" w:hint="eastAsia"/>
          <w:color w:val="000000"/>
          <w:kern w:val="0"/>
          <w:sz w:val="24"/>
          <w:szCs w:val="24"/>
          <w:lang w:val="en"/>
        </w:rPr>
      </w:pPr>
      <w:r w:rsidRPr="00C002F5">
        <w:rPr>
          <w:rFonts w:asciiTheme="minorEastAsia" w:hAnsiTheme="minorEastAsia" w:cs="宋体" w:hint="eastAsia"/>
          <w:color w:val="000000"/>
          <w:kern w:val="0"/>
          <w:sz w:val="24"/>
          <w:szCs w:val="24"/>
          <w:lang w:val="en"/>
        </w:rPr>
        <w:t xml:space="preserve">　　（三）严格评价管理。生态环境部会同有关部门，按照各省（区、市）钢铁行业超低排放改造计划方案，每年对上一年度超低排放改造完成情况进行评价，纳入大气污染防治工作考核评价体系。</w:t>
      </w:r>
    </w:p>
    <w:p w:rsidR="00C002F5" w:rsidRPr="00C002F5" w:rsidRDefault="00C002F5" w:rsidP="00C002F5">
      <w:pPr>
        <w:widowControl/>
        <w:shd w:val="clear" w:color="auto" w:fill="FFFFFF"/>
        <w:spacing w:line="540" w:lineRule="atLeast"/>
        <w:jc w:val="left"/>
        <w:rPr>
          <w:rFonts w:asciiTheme="minorEastAsia" w:hAnsiTheme="minorEastAsia" w:cs="宋体" w:hint="eastAsia"/>
          <w:color w:val="000000"/>
          <w:kern w:val="0"/>
          <w:sz w:val="24"/>
          <w:szCs w:val="24"/>
          <w:lang w:val="en"/>
        </w:rPr>
      </w:pPr>
      <w:r w:rsidRPr="00C002F5">
        <w:rPr>
          <w:rFonts w:asciiTheme="minorEastAsia" w:hAnsiTheme="minorEastAsia" w:cs="宋体" w:hint="eastAsia"/>
          <w:color w:val="000000"/>
          <w:kern w:val="0"/>
          <w:sz w:val="24"/>
          <w:szCs w:val="24"/>
          <w:lang w:val="en"/>
        </w:rPr>
        <w:t xml:space="preserve">　　企业完成超低排放改造连续稳定运行一个月后，可自行或委托有能力的技术机构，严格按照指标要求、监测技术规范等开展自行监测。稳定达到超低排放的，报送当地生态环境、工业和信息化、发展改革等部门。</w:t>
      </w:r>
    </w:p>
    <w:p w:rsidR="00C002F5" w:rsidRPr="00C002F5" w:rsidRDefault="00C002F5" w:rsidP="00C002F5">
      <w:pPr>
        <w:widowControl/>
        <w:shd w:val="clear" w:color="auto" w:fill="FFFFFF"/>
        <w:spacing w:line="540" w:lineRule="atLeast"/>
        <w:jc w:val="left"/>
        <w:rPr>
          <w:rFonts w:asciiTheme="minorEastAsia" w:hAnsiTheme="minorEastAsia" w:cs="宋体" w:hint="eastAsia"/>
          <w:color w:val="000000"/>
          <w:kern w:val="0"/>
          <w:sz w:val="24"/>
          <w:szCs w:val="24"/>
          <w:lang w:val="en"/>
        </w:rPr>
      </w:pPr>
      <w:r w:rsidRPr="00C002F5">
        <w:rPr>
          <w:rFonts w:asciiTheme="minorEastAsia" w:hAnsiTheme="minorEastAsia" w:cs="宋体" w:hint="eastAsia"/>
          <w:color w:val="000000"/>
          <w:kern w:val="0"/>
          <w:sz w:val="24"/>
          <w:szCs w:val="24"/>
          <w:lang w:val="en"/>
        </w:rPr>
        <w:t xml:space="preserve">　　建立</w:t>
      </w:r>
      <w:proofErr w:type="gramStart"/>
      <w:r w:rsidRPr="00C002F5">
        <w:rPr>
          <w:rFonts w:asciiTheme="minorEastAsia" w:hAnsiTheme="minorEastAsia" w:cs="宋体" w:hint="eastAsia"/>
          <w:color w:val="000000"/>
          <w:kern w:val="0"/>
          <w:sz w:val="24"/>
          <w:szCs w:val="24"/>
          <w:lang w:val="en"/>
        </w:rPr>
        <w:t>完善依效付费</w:t>
      </w:r>
      <w:proofErr w:type="gramEnd"/>
      <w:r w:rsidRPr="00C002F5">
        <w:rPr>
          <w:rFonts w:asciiTheme="minorEastAsia" w:hAnsiTheme="minorEastAsia" w:cs="宋体" w:hint="eastAsia"/>
          <w:color w:val="000000"/>
          <w:kern w:val="0"/>
          <w:sz w:val="24"/>
          <w:szCs w:val="24"/>
          <w:lang w:val="en"/>
        </w:rPr>
        <w:t>机制，多</w:t>
      </w:r>
      <w:proofErr w:type="gramStart"/>
      <w:r w:rsidRPr="00C002F5">
        <w:rPr>
          <w:rFonts w:asciiTheme="minorEastAsia" w:hAnsiTheme="minorEastAsia" w:cs="宋体" w:hint="eastAsia"/>
          <w:color w:val="000000"/>
          <w:kern w:val="0"/>
          <w:sz w:val="24"/>
          <w:szCs w:val="24"/>
          <w:lang w:val="en"/>
        </w:rPr>
        <w:t>措</w:t>
      </w:r>
      <w:proofErr w:type="gramEnd"/>
      <w:r w:rsidRPr="00C002F5">
        <w:rPr>
          <w:rFonts w:asciiTheme="minorEastAsia" w:hAnsiTheme="minorEastAsia" w:cs="宋体" w:hint="eastAsia"/>
          <w:color w:val="000000"/>
          <w:kern w:val="0"/>
          <w:sz w:val="24"/>
          <w:szCs w:val="24"/>
          <w:lang w:val="en"/>
        </w:rPr>
        <w:t>并举治理低价中标乱象。加大联合惩戒力度，将建设工程质量低劣的环保公司和环保设施运营管理水平低、存在弄虚作假行为的运</w:t>
      </w:r>
      <w:proofErr w:type="gramStart"/>
      <w:r w:rsidRPr="00C002F5">
        <w:rPr>
          <w:rFonts w:asciiTheme="minorEastAsia" w:hAnsiTheme="minorEastAsia" w:cs="宋体" w:hint="eastAsia"/>
          <w:color w:val="000000"/>
          <w:kern w:val="0"/>
          <w:sz w:val="24"/>
          <w:szCs w:val="24"/>
          <w:lang w:val="en"/>
        </w:rPr>
        <w:t>维机构</w:t>
      </w:r>
      <w:proofErr w:type="gramEnd"/>
      <w:r w:rsidRPr="00C002F5">
        <w:rPr>
          <w:rFonts w:asciiTheme="minorEastAsia" w:hAnsiTheme="minorEastAsia" w:cs="宋体" w:hint="eastAsia"/>
          <w:color w:val="000000"/>
          <w:kern w:val="0"/>
          <w:sz w:val="24"/>
          <w:szCs w:val="24"/>
          <w:lang w:val="en"/>
        </w:rPr>
        <w:t>列入失信联合惩戒对象名单（简称“黑名单”），纳入全国信用信息共享平台，并通过“信用中国”等网站定期向社会公布；相关钢铁企业在重污染天气预警期间加大停限产力度。依法依规对失信企业在行政审批、资质认定、银行贷款、上市融资、政府招投标、政府荣誉评定等方面予以限制。</w:t>
      </w:r>
    </w:p>
    <w:p w:rsidR="00C002F5" w:rsidRPr="00C002F5" w:rsidRDefault="00C002F5" w:rsidP="00C002F5">
      <w:pPr>
        <w:widowControl/>
        <w:shd w:val="clear" w:color="auto" w:fill="FFFFFF"/>
        <w:spacing w:line="540" w:lineRule="atLeast"/>
        <w:jc w:val="left"/>
        <w:rPr>
          <w:rFonts w:asciiTheme="minorEastAsia" w:hAnsiTheme="minorEastAsia" w:cs="宋体" w:hint="eastAsia"/>
          <w:color w:val="000000"/>
          <w:kern w:val="0"/>
          <w:sz w:val="24"/>
          <w:szCs w:val="24"/>
          <w:lang w:val="en"/>
        </w:rPr>
      </w:pPr>
      <w:r w:rsidRPr="00C002F5">
        <w:rPr>
          <w:rFonts w:asciiTheme="minorEastAsia" w:hAnsiTheme="minorEastAsia" w:cs="宋体" w:hint="eastAsia"/>
          <w:color w:val="000000"/>
          <w:kern w:val="0"/>
          <w:sz w:val="24"/>
          <w:szCs w:val="24"/>
          <w:lang w:val="en"/>
        </w:rPr>
        <w:t xml:space="preserve">　　（四）强化监督执法。各地要加强日常监督和执法检查，对不达标企业、未按证排污企业，依法依规严格处罚。严厉打击弄虚作假、擅自停运环保设施等严重违法行为，依法查处并追究相关人员责任。对超低排放企业，各省（区、市）应建立管理台账，实施动态管理，由市级及以上生态环境部门会同有关部门开展</w:t>
      </w:r>
      <w:r w:rsidRPr="00C002F5">
        <w:rPr>
          <w:rFonts w:asciiTheme="minorEastAsia" w:hAnsiTheme="minorEastAsia" w:cs="宋体" w:hint="eastAsia"/>
          <w:color w:val="000000"/>
          <w:kern w:val="0"/>
          <w:sz w:val="24"/>
          <w:szCs w:val="24"/>
          <w:lang w:val="en"/>
        </w:rPr>
        <w:lastRenderedPageBreak/>
        <w:t>“双随机”检查；对不能稳定达到超低排放指标要求的，视情节取消相关优惠政策，并向社会通报。</w:t>
      </w:r>
    </w:p>
    <w:p w:rsidR="00C002F5" w:rsidRPr="00C002F5" w:rsidRDefault="00C002F5" w:rsidP="00C002F5">
      <w:pPr>
        <w:widowControl/>
        <w:shd w:val="clear" w:color="auto" w:fill="FFFFFF"/>
        <w:spacing w:line="540" w:lineRule="atLeast"/>
        <w:jc w:val="left"/>
        <w:rPr>
          <w:rFonts w:asciiTheme="minorEastAsia" w:hAnsiTheme="minorEastAsia" w:cs="宋体" w:hint="eastAsia"/>
          <w:color w:val="000000"/>
          <w:kern w:val="0"/>
          <w:sz w:val="24"/>
          <w:szCs w:val="24"/>
          <w:lang w:val="en"/>
        </w:rPr>
      </w:pPr>
      <w:r w:rsidRPr="00C002F5">
        <w:rPr>
          <w:rFonts w:asciiTheme="minorEastAsia" w:hAnsiTheme="minorEastAsia" w:cs="宋体" w:hint="eastAsia"/>
          <w:color w:val="000000"/>
          <w:kern w:val="0"/>
          <w:sz w:val="24"/>
          <w:szCs w:val="24"/>
          <w:lang w:val="en"/>
        </w:rPr>
        <w:t xml:space="preserve">　　（五）加强宣传引导。要营造有利于开展钢铁行业超低排放改造的良好舆论氛围，增强企业开展超低排放改造的责任感和荣誉感。各级有关部门要积极跟踪相关舆情动态，及时回应社会关切，对做得好的地方和企业，组织新闻媒体加强宣传报道。各地应将完成超低排放改造的钢铁企业名单向社会公开，接受社会监督。</w:t>
      </w:r>
    </w:p>
    <w:p w:rsidR="00C002F5" w:rsidRPr="00C002F5" w:rsidRDefault="00C002F5" w:rsidP="00C002F5">
      <w:pPr>
        <w:widowControl/>
        <w:shd w:val="clear" w:color="auto" w:fill="FFFFFF"/>
        <w:spacing w:line="540" w:lineRule="atLeast"/>
        <w:jc w:val="left"/>
        <w:rPr>
          <w:rFonts w:asciiTheme="minorEastAsia" w:hAnsiTheme="minorEastAsia" w:cs="宋体" w:hint="eastAsia"/>
          <w:color w:val="000000"/>
          <w:kern w:val="0"/>
          <w:sz w:val="24"/>
          <w:szCs w:val="24"/>
          <w:lang w:val="en"/>
        </w:rPr>
      </w:pPr>
      <w:r w:rsidRPr="00C002F5">
        <w:rPr>
          <w:rFonts w:asciiTheme="minorEastAsia" w:hAnsiTheme="minorEastAsia" w:cs="宋体" w:hint="eastAsia"/>
          <w:color w:val="000000"/>
          <w:kern w:val="0"/>
          <w:sz w:val="24"/>
          <w:szCs w:val="24"/>
          <w:lang w:val="en"/>
        </w:rPr>
        <w:t xml:space="preserve">　　附件：1.重点区域范围</w:t>
      </w:r>
    </w:p>
    <w:p w:rsidR="00C002F5" w:rsidRPr="00C002F5" w:rsidRDefault="00C002F5" w:rsidP="00C002F5">
      <w:pPr>
        <w:widowControl/>
        <w:shd w:val="clear" w:color="auto" w:fill="FFFFFF"/>
        <w:spacing w:line="540" w:lineRule="atLeast"/>
        <w:jc w:val="left"/>
        <w:rPr>
          <w:rFonts w:asciiTheme="minorEastAsia" w:hAnsiTheme="minorEastAsia" w:cs="宋体" w:hint="eastAsia"/>
          <w:color w:val="000000"/>
          <w:kern w:val="0"/>
          <w:sz w:val="24"/>
          <w:szCs w:val="24"/>
          <w:lang w:val="en"/>
        </w:rPr>
      </w:pPr>
      <w:r w:rsidRPr="00C002F5">
        <w:rPr>
          <w:rFonts w:asciiTheme="minorEastAsia" w:hAnsiTheme="minorEastAsia" w:cs="宋体" w:hint="eastAsia"/>
          <w:color w:val="000000"/>
          <w:kern w:val="0"/>
          <w:sz w:val="24"/>
          <w:szCs w:val="24"/>
          <w:lang w:val="en"/>
        </w:rPr>
        <w:t xml:space="preserve">　　　　　2.钢铁企业超低排放指标限值</w:t>
      </w:r>
    </w:p>
    <w:p w:rsidR="00C002F5" w:rsidRPr="00C002F5" w:rsidRDefault="00C002F5" w:rsidP="00C002F5">
      <w:pPr>
        <w:widowControl/>
        <w:shd w:val="clear" w:color="auto" w:fill="FFFFFF"/>
        <w:spacing w:line="540" w:lineRule="atLeast"/>
        <w:jc w:val="left"/>
        <w:rPr>
          <w:rFonts w:asciiTheme="minorEastAsia" w:hAnsiTheme="minorEastAsia" w:cs="宋体" w:hint="eastAsia"/>
          <w:color w:val="000000"/>
          <w:kern w:val="0"/>
          <w:sz w:val="24"/>
          <w:szCs w:val="24"/>
          <w:lang w:val="en"/>
        </w:rPr>
      </w:pPr>
      <w:r w:rsidRPr="00C002F5">
        <w:rPr>
          <w:rFonts w:asciiTheme="minorEastAsia" w:hAnsiTheme="minorEastAsia" w:cs="宋体" w:hint="eastAsia"/>
          <w:color w:val="000000"/>
          <w:kern w:val="0"/>
          <w:sz w:val="24"/>
          <w:szCs w:val="24"/>
          <w:lang w:val="en"/>
        </w:rPr>
        <w:t xml:space="preserve">　　　　　3.无组织排放控制措施的界定</w:t>
      </w:r>
    </w:p>
    <w:p w:rsidR="00C002F5" w:rsidRPr="00C002F5" w:rsidRDefault="00C002F5" w:rsidP="00C002F5">
      <w:pPr>
        <w:widowControl/>
        <w:shd w:val="clear" w:color="auto" w:fill="FFFFFF"/>
        <w:spacing w:line="540" w:lineRule="atLeast"/>
        <w:jc w:val="right"/>
        <w:rPr>
          <w:rFonts w:asciiTheme="minorEastAsia" w:hAnsiTheme="minorEastAsia" w:cs="宋体" w:hint="eastAsia"/>
          <w:color w:val="000000"/>
          <w:kern w:val="0"/>
          <w:sz w:val="24"/>
          <w:szCs w:val="24"/>
          <w:lang w:val="en"/>
        </w:rPr>
      </w:pPr>
      <w:r w:rsidRPr="00C002F5">
        <w:rPr>
          <w:rFonts w:asciiTheme="minorEastAsia" w:hAnsiTheme="minorEastAsia" w:cs="宋体" w:hint="eastAsia"/>
          <w:color w:val="000000"/>
          <w:kern w:val="0"/>
          <w:sz w:val="24"/>
          <w:szCs w:val="24"/>
          <w:lang w:val="en"/>
        </w:rPr>
        <w:t>生态环境部</w:t>
      </w:r>
    </w:p>
    <w:p w:rsidR="00C002F5" w:rsidRPr="00C002F5" w:rsidRDefault="00C002F5" w:rsidP="00C002F5">
      <w:pPr>
        <w:widowControl/>
        <w:shd w:val="clear" w:color="auto" w:fill="FFFFFF"/>
        <w:spacing w:line="540" w:lineRule="atLeast"/>
        <w:jc w:val="right"/>
        <w:rPr>
          <w:rFonts w:asciiTheme="minorEastAsia" w:hAnsiTheme="minorEastAsia" w:cs="宋体" w:hint="eastAsia"/>
          <w:color w:val="000000"/>
          <w:kern w:val="0"/>
          <w:sz w:val="24"/>
          <w:szCs w:val="24"/>
          <w:lang w:val="en"/>
        </w:rPr>
      </w:pPr>
      <w:r w:rsidRPr="00C002F5">
        <w:rPr>
          <w:rFonts w:asciiTheme="minorEastAsia" w:hAnsiTheme="minorEastAsia" w:cs="宋体" w:hint="eastAsia"/>
          <w:color w:val="000000"/>
          <w:kern w:val="0"/>
          <w:sz w:val="24"/>
          <w:szCs w:val="24"/>
          <w:lang w:val="en"/>
        </w:rPr>
        <w:t>发展改革委</w:t>
      </w:r>
    </w:p>
    <w:p w:rsidR="00C002F5" w:rsidRPr="00C002F5" w:rsidRDefault="00C002F5" w:rsidP="00C002F5">
      <w:pPr>
        <w:widowControl/>
        <w:shd w:val="clear" w:color="auto" w:fill="FFFFFF"/>
        <w:spacing w:line="540" w:lineRule="atLeast"/>
        <w:jc w:val="right"/>
        <w:rPr>
          <w:rFonts w:asciiTheme="minorEastAsia" w:hAnsiTheme="minorEastAsia" w:cs="宋体" w:hint="eastAsia"/>
          <w:color w:val="000000"/>
          <w:kern w:val="0"/>
          <w:sz w:val="24"/>
          <w:szCs w:val="24"/>
          <w:lang w:val="en"/>
        </w:rPr>
      </w:pPr>
      <w:r w:rsidRPr="00C002F5">
        <w:rPr>
          <w:rFonts w:asciiTheme="minorEastAsia" w:hAnsiTheme="minorEastAsia" w:cs="宋体" w:hint="eastAsia"/>
          <w:color w:val="000000"/>
          <w:kern w:val="0"/>
          <w:sz w:val="24"/>
          <w:szCs w:val="24"/>
          <w:lang w:val="en"/>
        </w:rPr>
        <w:t>工业和信息化部</w:t>
      </w:r>
    </w:p>
    <w:p w:rsidR="00C002F5" w:rsidRPr="00C002F5" w:rsidRDefault="00C002F5" w:rsidP="00C002F5">
      <w:pPr>
        <w:widowControl/>
        <w:shd w:val="clear" w:color="auto" w:fill="FFFFFF"/>
        <w:spacing w:line="540" w:lineRule="atLeast"/>
        <w:jc w:val="right"/>
        <w:rPr>
          <w:rFonts w:asciiTheme="minorEastAsia" w:hAnsiTheme="minorEastAsia" w:cs="宋体" w:hint="eastAsia"/>
          <w:color w:val="000000"/>
          <w:kern w:val="0"/>
          <w:sz w:val="24"/>
          <w:szCs w:val="24"/>
          <w:lang w:val="en"/>
        </w:rPr>
      </w:pPr>
      <w:r w:rsidRPr="00C002F5">
        <w:rPr>
          <w:rFonts w:asciiTheme="minorEastAsia" w:hAnsiTheme="minorEastAsia" w:cs="宋体" w:hint="eastAsia"/>
          <w:color w:val="000000"/>
          <w:kern w:val="0"/>
          <w:sz w:val="24"/>
          <w:szCs w:val="24"/>
          <w:lang w:val="en"/>
        </w:rPr>
        <w:t>财政部</w:t>
      </w:r>
    </w:p>
    <w:p w:rsidR="00C002F5" w:rsidRPr="00C002F5" w:rsidRDefault="00C002F5" w:rsidP="00C002F5">
      <w:pPr>
        <w:widowControl/>
        <w:shd w:val="clear" w:color="auto" w:fill="FFFFFF"/>
        <w:spacing w:line="540" w:lineRule="atLeast"/>
        <w:jc w:val="right"/>
        <w:rPr>
          <w:rFonts w:asciiTheme="minorEastAsia" w:hAnsiTheme="minorEastAsia" w:cs="宋体" w:hint="eastAsia"/>
          <w:color w:val="000000"/>
          <w:kern w:val="0"/>
          <w:sz w:val="24"/>
          <w:szCs w:val="24"/>
          <w:lang w:val="en"/>
        </w:rPr>
      </w:pPr>
      <w:r w:rsidRPr="00C002F5">
        <w:rPr>
          <w:rFonts w:asciiTheme="minorEastAsia" w:hAnsiTheme="minorEastAsia" w:cs="宋体" w:hint="eastAsia"/>
          <w:color w:val="000000"/>
          <w:kern w:val="0"/>
          <w:sz w:val="24"/>
          <w:szCs w:val="24"/>
          <w:lang w:val="en"/>
        </w:rPr>
        <w:t>交通运输部</w:t>
      </w:r>
    </w:p>
    <w:p w:rsidR="00C002F5" w:rsidRPr="00C002F5" w:rsidRDefault="00C002F5" w:rsidP="00C002F5">
      <w:pPr>
        <w:widowControl/>
        <w:shd w:val="clear" w:color="auto" w:fill="FFFFFF"/>
        <w:spacing w:line="540" w:lineRule="atLeast"/>
        <w:jc w:val="right"/>
        <w:rPr>
          <w:rFonts w:asciiTheme="minorEastAsia" w:hAnsiTheme="minorEastAsia" w:cs="宋体" w:hint="eastAsia"/>
          <w:color w:val="000000"/>
          <w:kern w:val="0"/>
          <w:sz w:val="24"/>
          <w:szCs w:val="24"/>
          <w:lang w:val="en"/>
        </w:rPr>
      </w:pPr>
      <w:r w:rsidRPr="00C002F5">
        <w:rPr>
          <w:rFonts w:asciiTheme="minorEastAsia" w:hAnsiTheme="minorEastAsia" w:cs="宋体" w:hint="eastAsia"/>
          <w:color w:val="000000"/>
          <w:kern w:val="0"/>
          <w:sz w:val="24"/>
          <w:szCs w:val="24"/>
          <w:lang w:val="en"/>
        </w:rPr>
        <w:t>2019年4月22日</w:t>
      </w:r>
    </w:p>
    <w:p w:rsidR="00C002F5" w:rsidRPr="00C002F5" w:rsidRDefault="00C002F5" w:rsidP="00C002F5">
      <w:pPr>
        <w:widowControl/>
        <w:shd w:val="clear" w:color="auto" w:fill="FFFFFF"/>
        <w:spacing w:line="540" w:lineRule="atLeast"/>
        <w:jc w:val="left"/>
        <w:rPr>
          <w:rFonts w:asciiTheme="minorEastAsia" w:hAnsiTheme="minorEastAsia" w:cs="宋体" w:hint="eastAsia"/>
          <w:color w:val="000000"/>
          <w:kern w:val="0"/>
          <w:sz w:val="24"/>
          <w:szCs w:val="24"/>
          <w:lang w:val="en"/>
        </w:rPr>
      </w:pPr>
      <w:r w:rsidRPr="00C002F5">
        <w:rPr>
          <w:rFonts w:asciiTheme="minorEastAsia" w:hAnsiTheme="minorEastAsia" w:cs="宋体" w:hint="eastAsia"/>
          <w:color w:val="000000"/>
          <w:kern w:val="0"/>
          <w:sz w:val="24"/>
          <w:szCs w:val="24"/>
          <w:lang w:val="en"/>
        </w:rPr>
        <w:t xml:space="preserve">　　抄送：中国铁路总公司。</w:t>
      </w:r>
    </w:p>
    <w:p w:rsidR="00C002F5" w:rsidRPr="00C002F5" w:rsidRDefault="00C002F5" w:rsidP="00C002F5">
      <w:pPr>
        <w:widowControl/>
        <w:shd w:val="clear" w:color="auto" w:fill="FFFFFF"/>
        <w:spacing w:line="540" w:lineRule="atLeast"/>
        <w:jc w:val="left"/>
        <w:rPr>
          <w:rFonts w:asciiTheme="minorEastAsia" w:hAnsiTheme="minorEastAsia" w:cs="宋体" w:hint="eastAsia"/>
          <w:color w:val="000000"/>
          <w:kern w:val="0"/>
          <w:sz w:val="24"/>
          <w:szCs w:val="24"/>
          <w:lang w:val="en"/>
        </w:rPr>
      </w:pPr>
      <w:r w:rsidRPr="00C002F5">
        <w:rPr>
          <w:rFonts w:asciiTheme="minorEastAsia" w:hAnsiTheme="minorEastAsia" w:cs="宋体" w:hint="eastAsia"/>
          <w:color w:val="000000"/>
          <w:kern w:val="0"/>
          <w:sz w:val="24"/>
          <w:szCs w:val="24"/>
          <w:lang w:val="en"/>
        </w:rPr>
        <w:t xml:space="preserve">　　生态环境部办公厅2019年4月28日印发</w:t>
      </w:r>
    </w:p>
    <w:p w:rsidR="00C002F5" w:rsidRPr="00C002F5" w:rsidRDefault="00C002F5" w:rsidP="00C002F5">
      <w:pPr>
        <w:widowControl/>
        <w:shd w:val="clear" w:color="auto" w:fill="FFFFFF"/>
        <w:spacing w:line="540" w:lineRule="atLeast"/>
        <w:jc w:val="left"/>
        <w:rPr>
          <w:rFonts w:asciiTheme="minorEastAsia" w:hAnsiTheme="minorEastAsia" w:cs="宋体" w:hint="eastAsia"/>
          <w:color w:val="000000"/>
          <w:kern w:val="0"/>
          <w:sz w:val="24"/>
          <w:szCs w:val="24"/>
          <w:lang w:val="en"/>
        </w:rPr>
      </w:pPr>
      <w:r w:rsidRPr="00C002F5">
        <w:rPr>
          <w:rFonts w:asciiTheme="minorEastAsia" w:hAnsiTheme="minorEastAsia" w:cs="宋体" w:hint="eastAsia"/>
          <w:color w:val="000000"/>
          <w:kern w:val="0"/>
          <w:sz w:val="24"/>
          <w:szCs w:val="24"/>
          <w:lang w:val="en"/>
        </w:rPr>
        <w:t xml:space="preserve">　　</w:t>
      </w:r>
      <w:r w:rsidRPr="00C002F5">
        <w:rPr>
          <w:rFonts w:asciiTheme="minorEastAsia" w:hAnsiTheme="minorEastAsia" w:cs="宋体" w:hint="eastAsia"/>
          <w:b/>
          <w:bCs/>
          <w:color w:val="000000"/>
          <w:kern w:val="0"/>
          <w:sz w:val="24"/>
          <w:szCs w:val="24"/>
          <w:lang w:val="en"/>
        </w:rPr>
        <w:t>附件1.</w:t>
      </w:r>
    </w:p>
    <w:p w:rsidR="00C002F5" w:rsidRPr="00C002F5" w:rsidRDefault="00C002F5" w:rsidP="00C002F5">
      <w:pPr>
        <w:widowControl/>
        <w:shd w:val="clear" w:color="auto" w:fill="FFFFFF"/>
        <w:spacing w:line="540" w:lineRule="atLeast"/>
        <w:jc w:val="center"/>
        <w:rPr>
          <w:rFonts w:asciiTheme="minorEastAsia" w:hAnsiTheme="minorEastAsia" w:cs="宋体" w:hint="eastAsia"/>
          <w:color w:val="000000"/>
          <w:kern w:val="0"/>
          <w:sz w:val="24"/>
          <w:szCs w:val="24"/>
          <w:lang w:val="en"/>
        </w:rPr>
      </w:pPr>
      <w:r w:rsidRPr="00C002F5">
        <w:rPr>
          <w:rFonts w:asciiTheme="minorEastAsia" w:hAnsiTheme="minorEastAsia" w:cs="宋体" w:hint="eastAsia"/>
          <w:b/>
          <w:bCs/>
          <w:color w:val="000000"/>
          <w:kern w:val="0"/>
          <w:sz w:val="24"/>
          <w:szCs w:val="24"/>
          <w:lang w:val="en"/>
        </w:rPr>
        <w:t>重点区域范围</w:t>
      </w:r>
    </w:p>
    <w:tbl>
      <w:tblPr>
        <w:tblW w:w="8522" w:type="dxa"/>
        <w:jc w:val="center"/>
        <w:tblCellMar>
          <w:top w:w="15" w:type="dxa"/>
          <w:left w:w="15" w:type="dxa"/>
          <w:bottom w:w="15" w:type="dxa"/>
          <w:right w:w="15" w:type="dxa"/>
        </w:tblCellMar>
        <w:tblLook w:val="04A0" w:firstRow="1" w:lastRow="0" w:firstColumn="1" w:lastColumn="0" w:noHBand="0" w:noVBand="1"/>
      </w:tblPr>
      <w:tblGrid>
        <w:gridCol w:w="2858"/>
        <w:gridCol w:w="5664"/>
      </w:tblGrid>
      <w:tr w:rsidR="00C002F5" w:rsidRPr="00C002F5" w:rsidTr="00C002F5">
        <w:trPr>
          <w:trHeight w:val="510"/>
          <w:jc w:val="center"/>
        </w:trPr>
        <w:tc>
          <w:tcPr>
            <w:tcW w:w="285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C002F5" w:rsidRPr="00C002F5" w:rsidRDefault="00C002F5" w:rsidP="00C002F5">
            <w:pPr>
              <w:widowControl/>
              <w:spacing w:line="540" w:lineRule="atLeast"/>
              <w:jc w:val="center"/>
              <w:rPr>
                <w:rFonts w:asciiTheme="minorEastAsia" w:hAnsiTheme="minorEastAsia" w:cs="宋体"/>
                <w:color w:val="000000"/>
                <w:kern w:val="0"/>
                <w:sz w:val="24"/>
                <w:szCs w:val="24"/>
              </w:rPr>
            </w:pPr>
            <w:r w:rsidRPr="00C002F5">
              <w:rPr>
                <w:rFonts w:asciiTheme="minorEastAsia" w:hAnsiTheme="minorEastAsia" w:cs="宋体" w:hint="eastAsia"/>
                <w:b/>
                <w:bCs/>
                <w:color w:val="000000"/>
                <w:kern w:val="0"/>
                <w:szCs w:val="21"/>
              </w:rPr>
              <w:t>区域名称</w:t>
            </w:r>
          </w:p>
        </w:tc>
        <w:tc>
          <w:tcPr>
            <w:tcW w:w="5664"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C002F5" w:rsidRPr="00C002F5" w:rsidRDefault="00C002F5" w:rsidP="00C002F5">
            <w:pPr>
              <w:widowControl/>
              <w:spacing w:line="540" w:lineRule="atLeast"/>
              <w:jc w:val="center"/>
              <w:rPr>
                <w:rFonts w:asciiTheme="minorEastAsia" w:hAnsiTheme="minorEastAsia" w:cs="宋体"/>
                <w:color w:val="000000"/>
                <w:kern w:val="0"/>
                <w:sz w:val="24"/>
                <w:szCs w:val="24"/>
              </w:rPr>
            </w:pPr>
            <w:proofErr w:type="gramStart"/>
            <w:r w:rsidRPr="00C002F5">
              <w:rPr>
                <w:rFonts w:asciiTheme="minorEastAsia" w:hAnsiTheme="minorEastAsia" w:cs="宋体" w:hint="eastAsia"/>
                <w:b/>
                <w:bCs/>
                <w:color w:val="000000"/>
                <w:kern w:val="0"/>
                <w:szCs w:val="21"/>
              </w:rPr>
              <w:t>范</w:t>
            </w:r>
            <w:proofErr w:type="gramEnd"/>
            <w:r w:rsidRPr="00C002F5">
              <w:rPr>
                <w:rFonts w:asciiTheme="minorEastAsia" w:hAnsiTheme="minorEastAsia" w:cs="宋体" w:hint="eastAsia"/>
                <w:b/>
                <w:bCs/>
                <w:color w:val="000000"/>
                <w:kern w:val="0"/>
                <w:szCs w:val="21"/>
              </w:rPr>
              <w:t xml:space="preserve">    围</w:t>
            </w:r>
          </w:p>
        </w:tc>
      </w:tr>
      <w:tr w:rsidR="00C002F5" w:rsidRPr="00C002F5" w:rsidTr="00C002F5">
        <w:trPr>
          <w:trHeight w:val="1639"/>
          <w:jc w:val="center"/>
        </w:trPr>
        <w:tc>
          <w:tcPr>
            <w:tcW w:w="285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C002F5" w:rsidRPr="00C002F5" w:rsidRDefault="00C002F5" w:rsidP="00C002F5">
            <w:pPr>
              <w:widowControl/>
              <w:spacing w:line="540" w:lineRule="atLeast"/>
              <w:jc w:val="center"/>
              <w:rPr>
                <w:rFonts w:asciiTheme="minorEastAsia" w:hAnsiTheme="minorEastAsia" w:cs="宋体"/>
                <w:color w:val="000000"/>
                <w:kern w:val="0"/>
                <w:sz w:val="24"/>
                <w:szCs w:val="24"/>
              </w:rPr>
            </w:pPr>
            <w:r w:rsidRPr="00C002F5">
              <w:rPr>
                <w:rFonts w:asciiTheme="minorEastAsia" w:hAnsiTheme="minorEastAsia" w:cs="宋体" w:hint="eastAsia"/>
                <w:color w:val="000000"/>
                <w:kern w:val="0"/>
                <w:szCs w:val="21"/>
              </w:rPr>
              <w:t>京津冀及周边地区</w:t>
            </w:r>
          </w:p>
        </w:tc>
        <w:tc>
          <w:tcPr>
            <w:tcW w:w="566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002F5" w:rsidRPr="00C002F5" w:rsidRDefault="00C002F5" w:rsidP="00C002F5">
            <w:pPr>
              <w:widowControl/>
              <w:spacing w:line="540" w:lineRule="atLeast"/>
              <w:jc w:val="center"/>
              <w:rPr>
                <w:rFonts w:asciiTheme="minorEastAsia" w:hAnsiTheme="minorEastAsia" w:cs="宋体"/>
                <w:color w:val="000000"/>
                <w:kern w:val="0"/>
                <w:sz w:val="24"/>
                <w:szCs w:val="24"/>
              </w:rPr>
            </w:pPr>
            <w:r w:rsidRPr="00C002F5">
              <w:rPr>
                <w:rFonts w:asciiTheme="minorEastAsia" w:hAnsiTheme="minorEastAsia" w:cs="宋体" w:hint="eastAsia"/>
                <w:color w:val="000000"/>
                <w:kern w:val="0"/>
                <w:szCs w:val="21"/>
              </w:rPr>
              <w:t>北京市，天津市，河北省石家庄、唐山、邯郸、邢台、保定、沧州、廊坊、衡水市</w:t>
            </w:r>
            <w:proofErr w:type="gramStart"/>
            <w:r w:rsidRPr="00C002F5">
              <w:rPr>
                <w:rFonts w:asciiTheme="minorEastAsia" w:hAnsiTheme="minorEastAsia" w:cs="宋体" w:hint="eastAsia"/>
                <w:color w:val="000000"/>
                <w:kern w:val="0"/>
                <w:szCs w:val="21"/>
              </w:rPr>
              <w:t>以及雄安新区</w:t>
            </w:r>
            <w:proofErr w:type="gramEnd"/>
            <w:r w:rsidRPr="00C002F5">
              <w:rPr>
                <w:rFonts w:asciiTheme="minorEastAsia" w:hAnsiTheme="minorEastAsia" w:cs="宋体" w:hint="eastAsia"/>
                <w:color w:val="000000"/>
                <w:kern w:val="0"/>
                <w:szCs w:val="21"/>
              </w:rPr>
              <w:t>，山西省太原、阳泉、长治、晋城市，山东省济南、淄博、济宁、德州、聊城、滨州、菏泽市，河南省郑州、开封、安阳、鹤壁、新乡、焦作、濮</w:t>
            </w:r>
            <w:r w:rsidRPr="00C002F5">
              <w:rPr>
                <w:rFonts w:asciiTheme="minorEastAsia" w:hAnsiTheme="minorEastAsia" w:cs="宋体" w:hint="eastAsia"/>
                <w:color w:val="000000"/>
                <w:kern w:val="0"/>
                <w:szCs w:val="21"/>
              </w:rPr>
              <w:lastRenderedPageBreak/>
              <w:t>阳市（含河北省定州、辛集市，河南省济源市）</w:t>
            </w:r>
          </w:p>
        </w:tc>
      </w:tr>
      <w:tr w:rsidR="00C002F5" w:rsidRPr="00C002F5" w:rsidTr="00C002F5">
        <w:trPr>
          <w:trHeight w:val="510"/>
          <w:jc w:val="center"/>
        </w:trPr>
        <w:tc>
          <w:tcPr>
            <w:tcW w:w="285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C002F5" w:rsidRPr="00C002F5" w:rsidRDefault="00C002F5" w:rsidP="00C002F5">
            <w:pPr>
              <w:widowControl/>
              <w:spacing w:line="540" w:lineRule="atLeast"/>
              <w:jc w:val="center"/>
              <w:rPr>
                <w:rFonts w:asciiTheme="minorEastAsia" w:hAnsiTheme="minorEastAsia" w:cs="宋体"/>
                <w:color w:val="000000"/>
                <w:kern w:val="0"/>
                <w:sz w:val="24"/>
                <w:szCs w:val="24"/>
              </w:rPr>
            </w:pPr>
            <w:r w:rsidRPr="00C002F5">
              <w:rPr>
                <w:rFonts w:asciiTheme="minorEastAsia" w:hAnsiTheme="minorEastAsia" w:cs="宋体" w:hint="eastAsia"/>
                <w:color w:val="000000"/>
                <w:kern w:val="0"/>
                <w:szCs w:val="21"/>
              </w:rPr>
              <w:lastRenderedPageBreak/>
              <w:t>长三角地区</w:t>
            </w:r>
          </w:p>
        </w:tc>
        <w:tc>
          <w:tcPr>
            <w:tcW w:w="566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002F5" w:rsidRPr="00C002F5" w:rsidRDefault="00C002F5" w:rsidP="00C002F5">
            <w:pPr>
              <w:widowControl/>
              <w:spacing w:line="540" w:lineRule="atLeast"/>
              <w:jc w:val="center"/>
              <w:rPr>
                <w:rFonts w:asciiTheme="minorEastAsia" w:hAnsiTheme="minorEastAsia" w:cs="宋体"/>
                <w:color w:val="000000"/>
                <w:kern w:val="0"/>
                <w:sz w:val="24"/>
                <w:szCs w:val="24"/>
              </w:rPr>
            </w:pPr>
            <w:r w:rsidRPr="00C002F5">
              <w:rPr>
                <w:rFonts w:asciiTheme="minorEastAsia" w:hAnsiTheme="minorEastAsia" w:cs="宋体" w:hint="eastAsia"/>
                <w:color w:val="000000"/>
                <w:kern w:val="0"/>
                <w:szCs w:val="21"/>
              </w:rPr>
              <w:t>上海市、江苏省、浙江省、安徽省</w:t>
            </w:r>
          </w:p>
        </w:tc>
      </w:tr>
      <w:tr w:rsidR="00C002F5" w:rsidRPr="00C002F5" w:rsidTr="00C002F5">
        <w:trPr>
          <w:trHeight w:val="998"/>
          <w:jc w:val="center"/>
        </w:trPr>
        <w:tc>
          <w:tcPr>
            <w:tcW w:w="285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C002F5" w:rsidRPr="00C002F5" w:rsidRDefault="00C002F5" w:rsidP="00C002F5">
            <w:pPr>
              <w:widowControl/>
              <w:spacing w:line="540" w:lineRule="atLeast"/>
              <w:jc w:val="center"/>
              <w:rPr>
                <w:rFonts w:asciiTheme="minorEastAsia" w:hAnsiTheme="minorEastAsia" w:cs="宋体"/>
                <w:color w:val="000000"/>
                <w:kern w:val="0"/>
                <w:sz w:val="24"/>
                <w:szCs w:val="24"/>
              </w:rPr>
            </w:pPr>
            <w:proofErr w:type="gramStart"/>
            <w:r w:rsidRPr="00C002F5">
              <w:rPr>
                <w:rFonts w:asciiTheme="minorEastAsia" w:hAnsiTheme="minorEastAsia" w:cs="宋体" w:hint="eastAsia"/>
                <w:color w:val="000000"/>
                <w:kern w:val="0"/>
                <w:szCs w:val="21"/>
              </w:rPr>
              <w:t>汾</w:t>
            </w:r>
            <w:proofErr w:type="gramEnd"/>
            <w:r w:rsidRPr="00C002F5">
              <w:rPr>
                <w:rFonts w:asciiTheme="minorEastAsia" w:hAnsiTheme="minorEastAsia" w:cs="宋体" w:hint="eastAsia"/>
                <w:color w:val="000000"/>
                <w:kern w:val="0"/>
                <w:szCs w:val="21"/>
              </w:rPr>
              <w:t>渭平原</w:t>
            </w:r>
          </w:p>
        </w:tc>
        <w:tc>
          <w:tcPr>
            <w:tcW w:w="566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002F5" w:rsidRPr="00C002F5" w:rsidRDefault="00C002F5" w:rsidP="00C002F5">
            <w:pPr>
              <w:widowControl/>
              <w:spacing w:line="540" w:lineRule="atLeast"/>
              <w:jc w:val="center"/>
              <w:rPr>
                <w:rFonts w:asciiTheme="minorEastAsia" w:hAnsiTheme="minorEastAsia" w:cs="宋体"/>
                <w:color w:val="000000"/>
                <w:kern w:val="0"/>
                <w:sz w:val="24"/>
                <w:szCs w:val="24"/>
              </w:rPr>
            </w:pPr>
            <w:r w:rsidRPr="00C002F5">
              <w:rPr>
                <w:rFonts w:asciiTheme="minorEastAsia" w:hAnsiTheme="minorEastAsia" w:cs="宋体" w:hint="eastAsia"/>
                <w:color w:val="000000"/>
                <w:kern w:val="0"/>
                <w:szCs w:val="21"/>
              </w:rPr>
              <w:t>山西省晋中、运城、临汾、吕梁市，河南省洛阳、三门峡市，陕西省西安、铜川、宝鸡、咸阳、渭南市以及杨凌示范区（含陕西省西咸新区、韩城市）</w:t>
            </w:r>
          </w:p>
        </w:tc>
      </w:tr>
    </w:tbl>
    <w:p w:rsidR="00C002F5" w:rsidRPr="00C002F5" w:rsidRDefault="00C002F5" w:rsidP="00C002F5">
      <w:pPr>
        <w:widowControl/>
        <w:shd w:val="clear" w:color="auto" w:fill="FFFFFF"/>
        <w:spacing w:line="540" w:lineRule="atLeast"/>
        <w:jc w:val="left"/>
        <w:rPr>
          <w:rFonts w:asciiTheme="minorEastAsia" w:hAnsiTheme="minorEastAsia" w:cs="宋体" w:hint="eastAsia"/>
          <w:color w:val="000000"/>
          <w:kern w:val="0"/>
          <w:sz w:val="24"/>
          <w:szCs w:val="24"/>
          <w:lang w:val="en"/>
        </w:rPr>
      </w:pPr>
      <w:r w:rsidRPr="00C002F5">
        <w:rPr>
          <w:rFonts w:asciiTheme="minorEastAsia" w:hAnsiTheme="minorEastAsia" w:cs="宋体" w:hint="eastAsia"/>
          <w:color w:val="000000"/>
          <w:kern w:val="0"/>
          <w:sz w:val="24"/>
          <w:szCs w:val="24"/>
          <w:lang w:val="en"/>
        </w:rPr>
        <w:t xml:space="preserve">　</w:t>
      </w:r>
      <w:r w:rsidRPr="00C002F5">
        <w:rPr>
          <w:rFonts w:asciiTheme="minorEastAsia" w:hAnsiTheme="minorEastAsia" w:cs="宋体" w:hint="eastAsia"/>
          <w:b/>
          <w:bCs/>
          <w:color w:val="000000"/>
          <w:kern w:val="0"/>
          <w:sz w:val="24"/>
          <w:szCs w:val="24"/>
          <w:lang w:val="en"/>
        </w:rPr>
        <w:t xml:space="preserve">　附件2.</w:t>
      </w:r>
    </w:p>
    <w:p w:rsidR="00C002F5" w:rsidRPr="00C002F5" w:rsidRDefault="00C002F5" w:rsidP="00C002F5">
      <w:pPr>
        <w:widowControl/>
        <w:shd w:val="clear" w:color="auto" w:fill="FFFFFF"/>
        <w:spacing w:line="540" w:lineRule="atLeast"/>
        <w:jc w:val="center"/>
        <w:rPr>
          <w:rFonts w:asciiTheme="minorEastAsia" w:hAnsiTheme="minorEastAsia" w:cs="宋体" w:hint="eastAsia"/>
          <w:color w:val="000000"/>
          <w:kern w:val="0"/>
          <w:sz w:val="24"/>
          <w:szCs w:val="24"/>
          <w:lang w:val="en"/>
        </w:rPr>
      </w:pPr>
      <w:r w:rsidRPr="00C002F5">
        <w:rPr>
          <w:rFonts w:asciiTheme="minorEastAsia" w:hAnsiTheme="minorEastAsia" w:cs="宋体" w:hint="eastAsia"/>
          <w:b/>
          <w:bCs/>
          <w:color w:val="000000"/>
          <w:kern w:val="0"/>
          <w:sz w:val="24"/>
          <w:szCs w:val="24"/>
          <w:lang w:val="en"/>
        </w:rPr>
        <w:t>钢铁企业超低排放指标限值</w:t>
      </w:r>
    </w:p>
    <w:p w:rsidR="00C002F5" w:rsidRPr="00C002F5" w:rsidRDefault="00C002F5" w:rsidP="00C002F5">
      <w:pPr>
        <w:widowControl/>
        <w:shd w:val="clear" w:color="auto" w:fill="FFFFFF"/>
        <w:spacing w:line="540" w:lineRule="atLeast"/>
        <w:jc w:val="center"/>
        <w:rPr>
          <w:rFonts w:asciiTheme="minorEastAsia" w:hAnsiTheme="minorEastAsia" w:cs="宋体" w:hint="eastAsia"/>
          <w:color w:val="000000"/>
          <w:kern w:val="0"/>
          <w:sz w:val="24"/>
          <w:szCs w:val="24"/>
          <w:lang w:val="en"/>
        </w:rPr>
      </w:pPr>
      <w:r w:rsidRPr="00C002F5">
        <w:rPr>
          <w:rFonts w:asciiTheme="minorEastAsia" w:hAnsiTheme="minorEastAsia" w:cs="宋体" w:hint="eastAsia"/>
          <w:color w:val="000000"/>
          <w:kern w:val="0"/>
          <w:sz w:val="24"/>
          <w:szCs w:val="24"/>
          <w:lang w:val="en"/>
        </w:rPr>
        <w:t xml:space="preserve">　　　　　　　　　　　　　　　　　　　　　　　单位：</w:t>
      </w:r>
      <w:proofErr w:type="gramStart"/>
      <w:r w:rsidRPr="00C002F5">
        <w:rPr>
          <w:rFonts w:asciiTheme="minorEastAsia" w:hAnsiTheme="minorEastAsia" w:cs="宋体" w:hint="eastAsia"/>
          <w:color w:val="000000"/>
          <w:kern w:val="0"/>
          <w:sz w:val="24"/>
          <w:szCs w:val="24"/>
          <w:lang w:val="en"/>
        </w:rPr>
        <w:t>毫克/</w:t>
      </w:r>
      <w:proofErr w:type="gramEnd"/>
      <w:r w:rsidRPr="00C002F5">
        <w:rPr>
          <w:rFonts w:asciiTheme="minorEastAsia" w:hAnsiTheme="minorEastAsia" w:cs="宋体" w:hint="eastAsia"/>
          <w:color w:val="000000"/>
          <w:kern w:val="0"/>
          <w:sz w:val="24"/>
          <w:szCs w:val="24"/>
          <w:lang w:val="en"/>
        </w:rPr>
        <w:t xml:space="preserve">立方米　　</w:t>
      </w:r>
    </w:p>
    <w:tbl>
      <w:tblPr>
        <w:tblW w:w="8442" w:type="dxa"/>
        <w:jc w:val="center"/>
        <w:tblCellMar>
          <w:top w:w="15" w:type="dxa"/>
          <w:left w:w="15" w:type="dxa"/>
          <w:bottom w:w="15" w:type="dxa"/>
          <w:right w:w="15" w:type="dxa"/>
        </w:tblCellMar>
        <w:tblLook w:val="04A0" w:firstRow="1" w:lastRow="0" w:firstColumn="1" w:lastColumn="0" w:noHBand="0" w:noVBand="1"/>
      </w:tblPr>
      <w:tblGrid>
        <w:gridCol w:w="1310"/>
        <w:gridCol w:w="2826"/>
        <w:gridCol w:w="1283"/>
        <w:gridCol w:w="895"/>
        <w:gridCol w:w="1000"/>
        <w:gridCol w:w="1128"/>
      </w:tblGrid>
      <w:tr w:rsidR="00C002F5" w:rsidRPr="00C002F5" w:rsidTr="00C002F5">
        <w:trPr>
          <w:trHeight w:val="397"/>
          <w:jc w:val="center"/>
        </w:trPr>
        <w:tc>
          <w:tcPr>
            <w:tcW w:w="1310" w:type="dxa"/>
            <w:vMerge w:val="restar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C002F5" w:rsidRPr="00C002F5" w:rsidRDefault="00C002F5" w:rsidP="00C002F5">
            <w:pPr>
              <w:widowControl/>
              <w:spacing w:line="540" w:lineRule="atLeast"/>
              <w:jc w:val="center"/>
              <w:rPr>
                <w:rFonts w:asciiTheme="minorEastAsia" w:hAnsiTheme="minorEastAsia" w:cs="宋体"/>
                <w:color w:val="000000"/>
                <w:kern w:val="0"/>
                <w:sz w:val="24"/>
                <w:szCs w:val="24"/>
              </w:rPr>
            </w:pPr>
            <w:r w:rsidRPr="00C002F5">
              <w:rPr>
                <w:rFonts w:asciiTheme="minorEastAsia" w:hAnsiTheme="minorEastAsia" w:cs="宋体" w:hint="eastAsia"/>
                <w:b/>
                <w:bCs/>
                <w:color w:val="000000"/>
                <w:kern w:val="0"/>
                <w:szCs w:val="21"/>
              </w:rPr>
              <w:t>生产工序</w:t>
            </w:r>
          </w:p>
        </w:tc>
        <w:tc>
          <w:tcPr>
            <w:tcW w:w="2826" w:type="dxa"/>
            <w:vMerge w:val="restart"/>
            <w:tcBorders>
              <w:top w:val="single" w:sz="8" w:space="0" w:color="auto"/>
              <w:left w:val="nil"/>
              <w:bottom w:val="single" w:sz="8" w:space="0" w:color="auto"/>
              <w:right w:val="single" w:sz="8" w:space="0" w:color="auto"/>
            </w:tcBorders>
            <w:tcMar>
              <w:top w:w="0" w:type="dxa"/>
              <w:left w:w="28" w:type="dxa"/>
              <w:bottom w:w="0" w:type="dxa"/>
              <w:right w:w="28" w:type="dxa"/>
            </w:tcMar>
            <w:vAlign w:val="center"/>
            <w:hideMark/>
          </w:tcPr>
          <w:p w:rsidR="00C002F5" w:rsidRPr="00C002F5" w:rsidRDefault="00C002F5" w:rsidP="00C002F5">
            <w:pPr>
              <w:widowControl/>
              <w:spacing w:line="540" w:lineRule="atLeast"/>
              <w:jc w:val="center"/>
              <w:rPr>
                <w:rFonts w:asciiTheme="minorEastAsia" w:hAnsiTheme="minorEastAsia" w:cs="宋体"/>
                <w:color w:val="000000"/>
                <w:kern w:val="0"/>
                <w:sz w:val="24"/>
                <w:szCs w:val="24"/>
              </w:rPr>
            </w:pPr>
            <w:r w:rsidRPr="00C002F5">
              <w:rPr>
                <w:rFonts w:asciiTheme="minorEastAsia" w:hAnsiTheme="minorEastAsia" w:cs="宋体" w:hint="eastAsia"/>
                <w:b/>
                <w:bCs/>
                <w:color w:val="000000"/>
                <w:kern w:val="0"/>
                <w:szCs w:val="21"/>
              </w:rPr>
              <w:t>生产设施</w:t>
            </w:r>
          </w:p>
        </w:tc>
        <w:tc>
          <w:tcPr>
            <w:tcW w:w="1283" w:type="dxa"/>
            <w:vMerge w:val="restart"/>
            <w:tcBorders>
              <w:top w:val="single" w:sz="8" w:space="0" w:color="auto"/>
              <w:left w:val="nil"/>
              <w:bottom w:val="single" w:sz="8" w:space="0" w:color="auto"/>
              <w:right w:val="single" w:sz="8" w:space="0" w:color="auto"/>
            </w:tcBorders>
            <w:tcMar>
              <w:top w:w="0" w:type="dxa"/>
              <w:left w:w="28" w:type="dxa"/>
              <w:bottom w:w="0" w:type="dxa"/>
              <w:right w:w="28" w:type="dxa"/>
            </w:tcMar>
            <w:vAlign w:val="center"/>
            <w:hideMark/>
          </w:tcPr>
          <w:p w:rsidR="00C002F5" w:rsidRPr="00C002F5" w:rsidRDefault="00C002F5" w:rsidP="00C002F5">
            <w:pPr>
              <w:widowControl/>
              <w:spacing w:line="540" w:lineRule="atLeast"/>
              <w:jc w:val="center"/>
              <w:rPr>
                <w:rFonts w:asciiTheme="minorEastAsia" w:hAnsiTheme="minorEastAsia" w:cs="宋体"/>
                <w:color w:val="000000"/>
                <w:kern w:val="0"/>
                <w:sz w:val="24"/>
                <w:szCs w:val="24"/>
              </w:rPr>
            </w:pPr>
            <w:r w:rsidRPr="00C002F5">
              <w:rPr>
                <w:rFonts w:asciiTheme="minorEastAsia" w:hAnsiTheme="minorEastAsia" w:cs="宋体" w:hint="eastAsia"/>
                <w:b/>
                <w:bCs/>
                <w:color w:val="000000"/>
                <w:kern w:val="0"/>
                <w:szCs w:val="21"/>
              </w:rPr>
              <w:t>基准含氧量（%）</w:t>
            </w:r>
          </w:p>
        </w:tc>
        <w:tc>
          <w:tcPr>
            <w:tcW w:w="3023" w:type="dxa"/>
            <w:gridSpan w:val="3"/>
            <w:tcBorders>
              <w:top w:val="single" w:sz="8" w:space="0" w:color="auto"/>
              <w:left w:val="nil"/>
              <w:bottom w:val="single" w:sz="8" w:space="0" w:color="auto"/>
              <w:right w:val="single" w:sz="8" w:space="0" w:color="auto"/>
            </w:tcBorders>
            <w:tcMar>
              <w:top w:w="0" w:type="dxa"/>
              <w:left w:w="28" w:type="dxa"/>
              <w:bottom w:w="0" w:type="dxa"/>
              <w:right w:w="28" w:type="dxa"/>
            </w:tcMar>
            <w:vAlign w:val="center"/>
            <w:hideMark/>
          </w:tcPr>
          <w:p w:rsidR="00C002F5" w:rsidRPr="00C002F5" w:rsidRDefault="00C002F5" w:rsidP="00C002F5">
            <w:pPr>
              <w:widowControl/>
              <w:spacing w:line="540" w:lineRule="atLeast"/>
              <w:jc w:val="center"/>
              <w:rPr>
                <w:rFonts w:asciiTheme="minorEastAsia" w:hAnsiTheme="minorEastAsia" w:cs="宋体"/>
                <w:color w:val="000000"/>
                <w:kern w:val="0"/>
                <w:sz w:val="24"/>
                <w:szCs w:val="24"/>
              </w:rPr>
            </w:pPr>
            <w:r w:rsidRPr="00C002F5">
              <w:rPr>
                <w:rFonts w:asciiTheme="minorEastAsia" w:hAnsiTheme="minorEastAsia" w:cs="宋体" w:hint="eastAsia"/>
                <w:b/>
                <w:bCs/>
                <w:color w:val="000000"/>
                <w:kern w:val="0"/>
                <w:szCs w:val="21"/>
              </w:rPr>
              <w:t>污染物项目</w:t>
            </w:r>
          </w:p>
        </w:tc>
      </w:tr>
      <w:tr w:rsidR="00C002F5" w:rsidRPr="00C002F5" w:rsidTr="00C002F5">
        <w:trPr>
          <w:trHeight w:val="397"/>
          <w:jc w:val="center"/>
        </w:trPr>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C002F5" w:rsidRPr="00C002F5" w:rsidRDefault="00C002F5" w:rsidP="00C002F5">
            <w:pPr>
              <w:widowControl/>
              <w:jc w:val="left"/>
              <w:rPr>
                <w:rFonts w:asciiTheme="minorEastAsia" w:hAnsiTheme="minorEastAsia" w:cs="宋体"/>
                <w:color w:val="000000"/>
                <w:kern w:val="0"/>
                <w:sz w:val="24"/>
                <w:szCs w:val="24"/>
              </w:rPr>
            </w:pPr>
          </w:p>
        </w:tc>
        <w:tc>
          <w:tcPr>
            <w:tcW w:w="0" w:type="auto"/>
            <w:vMerge/>
            <w:tcBorders>
              <w:top w:val="single" w:sz="8" w:space="0" w:color="auto"/>
              <w:left w:val="nil"/>
              <w:bottom w:val="single" w:sz="8" w:space="0" w:color="auto"/>
              <w:right w:val="single" w:sz="8" w:space="0" w:color="auto"/>
            </w:tcBorders>
            <w:vAlign w:val="center"/>
            <w:hideMark/>
          </w:tcPr>
          <w:p w:rsidR="00C002F5" w:rsidRPr="00C002F5" w:rsidRDefault="00C002F5" w:rsidP="00C002F5">
            <w:pPr>
              <w:widowControl/>
              <w:jc w:val="left"/>
              <w:rPr>
                <w:rFonts w:asciiTheme="minorEastAsia" w:hAnsiTheme="minorEastAsia" w:cs="宋体"/>
                <w:color w:val="000000"/>
                <w:kern w:val="0"/>
                <w:sz w:val="24"/>
                <w:szCs w:val="24"/>
              </w:rPr>
            </w:pPr>
          </w:p>
        </w:tc>
        <w:tc>
          <w:tcPr>
            <w:tcW w:w="0" w:type="auto"/>
            <w:vMerge/>
            <w:tcBorders>
              <w:top w:val="single" w:sz="8" w:space="0" w:color="auto"/>
              <w:left w:val="nil"/>
              <w:bottom w:val="single" w:sz="8" w:space="0" w:color="auto"/>
              <w:right w:val="single" w:sz="8" w:space="0" w:color="auto"/>
            </w:tcBorders>
            <w:vAlign w:val="center"/>
            <w:hideMark/>
          </w:tcPr>
          <w:p w:rsidR="00C002F5" w:rsidRPr="00C002F5" w:rsidRDefault="00C002F5" w:rsidP="00C002F5">
            <w:pPr>
              <w:widowControl/>
              <w:jc w:val="left"/>
              <w:rPr>
                <w:rFonts w:asciiTheme="minorEastAsia" w:hAnsiTheme="minorEastAsia" w:cs="宋体"/>
                <w:color w:val="000000"/>
                <w:kern w:val="0"/>
                <w:sz w:val="24"/>
                <w:szCs w:val="24"/>
              </w:rPr>
            </w:pPr>
          </w:p>
        </w:tc>
        <w:tc>
          <w:tcPr>
            <w:tcW w:w="895"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C002F5" w:rsidRPr="00C002F5" w:rsidRDefault="00C002F5" w:rsidP="00C002F5">
            <w:pPr>
              <w:widowControl/>
              <w:spacing w:line="540" w:lineRule="atLeast"/>
              <w:jc w:val="center"/>
              <w:rPr>
                <w:rFonts w:asciiTheme="minorEastAsia" w:hAnsiTheme="minorEastAsia" w:cs="宋体"/>
                <w:color w:val="000000"/>
                <w:kern w:val="0"/>
                <w:sz w:val="24"/>
                <w:szCs w:val="24"/>
              </w:rPr>
            </w:pPr>
            <w:r w:rsidRPr="00C002F5">
              <w:rPr>
                <w:rFonts w:asciiTheme="minorEastAsia" w:hAnsiTheme="minorEastAsia" w:cs="宋体" w:hint="eastAsia"/>
                <w:b/>
                <w:bCs/>
                <w:color w:val="000000"/>
                <w:kern w:val="0"/>
                <w:szCs w:val="21"/>
              </w:rPr>
              <w:t>颗粒物</w:t>
            </w:r>
          </w:p>
        </w:tc>
        <w:tc>
          <w:tcPr>
            <w:tcW w:w="1000" w:type="dxa"/>
            <w:tcBorders>
              <w:top w:val="single" w:sz="8" w:space="0" w:color="auto"/>
              <w:left w:val="nil"/>
              <w:bottom w:val="single" w:sz="8" w:space="0" w:color="auto"/>
              <w:right w:val="single" w:sz="8" w:space="0" w:color="auto"/>
            </w:tcBorders>
            <w:tcMar>
              <w:top w:w="0" w:type="dxa"/>
              <w:left w:w="28" w:type="dxa"/>
              <w:bottom w:w="0" w:type="dxa"/>
              <w:right w:w="28" w:type="dxa"/>
            </w:tcMar>
            <w:vAlign w:val="center"/>
            <w:hideMark/>
          </w:tcPr>
          <w:p w:rsidR="00C002F5" w:rsidRPr="00C002F5" w:rsidRDefault="00C002F5" w:rsidP="00C002F5">
            <w:pPr>
              <w:widowControl/>
              <w:spacing w:line="540" w:lineRule="atLeast"/>
              <w:jc w:val="center"/>
              <w:rPr>
                <w:rFonts w:asciiTheme="minorEastAsia" w:hAnsiTheme="minorEastAsia" w:cs="宋体"/>
                <w:color w:val="000000"/>
                <w:kern w:val="0"/>
                <w:sz w:val="24"/>
                <w:szCs w:val="24"/>
              </w:rPr>
            </w:pPr>
            <w:r w:rsidRPr="00C002F5">
              <w:rPr>
                <w:rFonts w:asciiTheme="minorEastAsia" w:hAnsiTheme="minorEastAsia" w:cs="宋体" w:hint="eastAsia"/>
                <w:b/>
                <w:bCs/>
                <w:color w:val="000000"/>
                <w:kern w:val="0"/>
                <w:szCs w:val="21"/>
              </w:rPr>
              <w:t>二氧化硫</w:t>
            </w:r>
          </w:p>
        </w:tc>
        <w:tc>
          <w:tcPr>
            <w:tcW w:w="1128" w:type="dxa"/>
            <w:tcBorders>
              <w:top w:val="single" w:sz="8" w:space="0" w:color="auto"/>
              <w:left w:val="nil"/>
              <w:bottom w:val="single" w:sz="8" w:space="0" w:color="auto"/>
              <w:right w:val="single" w:sz="8" w:space="0" w:color="auto"/>
            </w:tcBorders>
            <w:tcMar>
              <w:top w:w="0" w:type="dxa"/>
              <w:left w:w="28" w:type="dxa"/>
              <w:bottom w:w="0" w:type="dxa"/>
              <w:right w:w="28" w:type="dxa"/>
            </w:tcMar>
            <w:vAlign w:val="center"/>
            <w:hideMark/>
          </w:tcPr>
          <w:p w:rsidR="00C002F5" w:rsidRPr="00C002F5" w:rsidRDefault="00C002F5" w:rsidP="00C002F5">
            <w:pPr>
              <w:widowControl/>
              <w:spacing w:line="540" w:lineRule="atLeast"/>
              <w:jc w:val="center"/>
              <w:rPr>
                <w:rFonts w:asciiTheme="minorEastAsia" w:hAnsiTheme="minorEastAsia" w:cs="宋体"/>
                <w:color w:val="000000"/>
                <w:kern w:val="0"/>
                <w:sz w:val="24"/>
                <w:szCs w:val="24"/>
              </w:rPr>
            </w:pPr>
            <w:r w:rsidRPr="00C002F5">
              <w:rPr>
                <w:rFonts w:asciiTheme="minorEastAsia" w:hAnsiTheme="minorEastAsia" w:cs="宋体" w:hint="eastAsia"/>
                <w:b/>
                <w:bCs/>
                <w:color w:val="000000"/>
                <w:kern w:val="0"/>
                <w:szCs w:val="21"/>
              </w:rPr>
              <w:t>氮氧化物</w:t>
            </w:r>
          </w:p>
        </w:tc>
      </w:tr>
      <w:tr w:rsidR="00C002F5" w:rsidRPr="00C002F5" w:rsidTr="00C002F5">
        <w:trPr>
          <w:trHeight w:val="670"/>
          <w:jc w:val="center"/>
        </w:trPr>
        <w:tc>
          <w:tcPr>
            <w:tcW w:w="1310"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C002F5" w:rsidRPr="00C002F5" w:rsidRDefault="00C002F5" w:rsidP="00C002F5">
            <w:pPr>
              <w:widowControl/>
              <w:spacing w:line="540" w:lineRule="atLeast"/>
              <w:jc w:val="center"/>
              <w:rPr>
                <w:rFonts w:asciiTheme="minorEastAsia" w:hAnsiTheme="minorEastAsia" w:cs="宋体" w:hint="eastAsia"/>
                <w:color w:val="000000"/>
                <w:kern w:val="0"/>
                <w:sz w:val="24"/>
                <w:szCs w:val="24"/>
              </w:rPr>
            </w:pPr>
            <w:r w:rsidRPr="00C002F5">
              <w:rPr>
                <w:rFonts w:asciiTheme="minorEastAsia" w:hAnsiTheme="minorEastAsia" w:cs="宋体" w:hint="eastAsia"/>
                <w:color w:val="000000"/>
                <w:kern w:val="0"/>
                <w:szCs w:val="21"/>
              </w:rPr>
              <w:t>烧结</w:t>
            </w:r>
          </w:p>
          <w:p w:rsidR="00C002F5" w:rsidRPr="00C002F5" w:rsidRDefault="00C002F5" w:rsidP="00C002F5">
            <w:pPr>
              <w:widowControl/>
              <w:spacing w:line="540" w:lineRule="atLeast"/>
              <w:jc w:val="center"/>
              <w:rPr>
                <w:rFonts w:asciiTheme="minorEastAsia" w:hAnsiTheme="minorEastAsia" w:cs="宋体"/>
                <w:color w:val="000000"/>
                <w:kern w:val="0"/>
                <w:sz w:val="24"/>
                <w:szCs w:val="24"/>
              </w:rPr>
            </w:pPr>
            <w:r w:rsidRPr="00C002F5">
              <w:rPr>
                <w:rFonts w:asciiTheme="minorEastAsia" w:hAnsiTheme="minorEastAsia" w:cs="宋体" w:hint="eastAsia"/>
                <w:color w:val="000000"/>
                <w:kern w:val="0"/>
                <w:szCs w:val="21"/>
              </w:rPr>
              <w:t>（球团）</w:t>
            </w:r>
          </w:p>
        </w:tc>
        <w:tc>
          <w:tcPr>
            <w:tcW w:w="2826"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C002F5" w:rsidRPr="00C002F5" w:rsidRDefault="00C002F5" w:rsidP="00C002F5">
            <w:pPr>
              <w:widowControl/>
              <w:spacing w:line="540" w:lineRule="atLeast"/>
              <w:jc w:val="center"/>
              <w:rPr>
                <w:rFonts w:asciiTheme="minorEastAsia" w:hAnsiTheme="minorEastAsia" w:cs="宋体"/>
                <w:color w:val="000000"/>
                <w:kern w:val="0"/>
                <w:sz w:val="24"/>
                <w:szCs w:val="24"/>
              </w:rPr>
            </w:pPr>
            <w:r w:rsidRPr="00C002F5">
              <w:rPr>
                <w:rFonts w:asciiTheme="minorEastAsia" w:hAnsiTheme="minorEastAsia" w:cs="宋体" w:hint="eastAsia"/>
                <w:color w:val="000000"/>
                <w:kern w:val="0"/>
                <w:szCs w:val="21"/>
              </w:rPr>
              <w:t>烧结机机头</w:t>
            </w:r>
          </w:p>
          <w:p w:rsidR="00C002F5" w:rsidRPr="00C002F5" w:rsidRDefault="00C002F5" w:rsidP="00C002F5">
            <w:pPr>
              <w:widowControl/>
              <w:spacing w:line="540" w:lineRule="atLeast"/>
              <w:jc w:val="center"/>
              <w:rPr>
                <w:rFonts w:asciiTheme="minorEastAsia" w:hAnsiTheme="minorEastAsia" w:cs="宋体"/>
                <w:color w:val="000000"/>
                <w:kern w:val="0"/>
                <w:sz w:val="24"/>
                <w:szCs w:val="24"/>
              </w:rPr>
            </w:pPr>
            <w:r w:rsidRPr="00C002F5">
              <w:rPr>
                <w:rFonts w:asciiTheme="minorEastAsia" w:hAnsiTheme="minorEastAsia" w:cs="宋体" w:hint="eastAsia"/>
                <w:color w:val="000000"/>
                <w:kern w:val="0"/>
                <w:szCs w:val="21"/>
              </w:rPr>
              <w:t>球团竖炉</w:t>
            </w:r>
          </w:p>
        </w:tc>
        <w:tc>
          <w:tcPr>
            <w:tcW w:w="1283"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C002F5" w:rsidRPr="00C002F5" w:rsidRDefault="00C002F5" w:rsidP="00C002F5">
            <w:pPr>
              <w:widowControl/>
              <w:spacing w:line="540" w:lineRule="atLeast"/>
              <w:jc w:val="center"/>
              <w:rPr>
                <w:rFonts w:asciiTheme="minorEastAsia" w:hAnsiTheme="minorEastAsia" w:cs="宋体"/>
                <w:color w:val="000000"/>
                <w:kern w:val="0"/>
                <w:sz w:val="24"/>
                <w:szCs w:val="24"/>
              </w:rPr>
            </w:pPr>
            <w:r w:rsidRPr="00C002F5">
              <w:rPr>
                <w:rFonts w:asciiTheme="minorEastAsia" w:hAnsiTheme="minorEastAsia" w:cs="宋体" w:hint="eastAsia"/>
                <w:color w:val="000000"/>
                <w:kern w:val="0"/>
                <w:szCs w:val="21"/>
              </w:rPr>
              <w:t>16</w:t>
            </w:r>
          </w:p>
        </w:tc>
        <w:tc>
          <w:tcPr>
            <w:tcW w:w="895"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C002F5" w:rsidRPr="00C002F5" w:rsidRDefault="00C002F5" w:rsidP="00C002F5">
            <w:pPr>
              <w:widowControl/>
              <w:spacing w:line="540" w:lineRule="atLeast"/>
              <w:jc w:val="center"/>
              <w:rPr>
                <w:rFonts w:asciiTheme="minorEastAsia" w:hAnsiTheme="minorEastAsia" w:cs="宋体"/>
                <w:color w:val="000000"/>
                <w:kern w:val="0"/>
                <w:sz w:val="24"/>
                <w:szCs w:val="24"/>
              </w:rPr>
            </w:pPr>
            <w:r w:rsidRPr="00C002F5">
              <w:rPr>
                <w:rFonts w:asciiTheme="minorEastAsia" w:hAnsiTheme="minorEastAsia" w:cs="宋体" w:hint="eastAsia"/>
                <w:color w:val="000000"/>
                <w:kern w:val="0"/>
                <w:szCs w:val="21"/>
              </w:rPr>
              <w:t>10</w:t>
            </w:r>
          </w:p>
        </w:tc>
        <w:tc>
          <w:tcPr>
            <w:tcW w:w="1000"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C002F5" w:rsidRPr="00C002F5" w:rsidRDefault="00C002F5" w:rsidP="00C002F5">
            <w:pPr>
              <w:widowControl/>
              <w:spacing w:line="540" w:lineRule="atLeast"/>
              <w:jc w:val="center"/>
              <w:rPr>
                <w:rFonts w:asciiTheme="minorEastAsia" w:hAnsiTheme="minorEastAsia" w:cs="宋体"/>
                <w:color w:val="000000"/>
                <w:kern w:val="0"/>
                <w:sz w:val="24"/>
                <w:szCs w:val="24"/>
              </w:rPr>
            </w:pPr>
            <w:r w:rsidRPr="00C002F5">
              <w:rPr>
                <w:rFonts w:asciiTheme="minorEastAsia" w:hAnsiTheme="minorEastAsia" w:cs="宋体" w:hint="eastAsia"/>
                <w:color w:val="000000"/>
                <w:kern w:val="0"/>
                <w:szCs w:val="21"/>
              </w:rPr>
              <w:t>35</w:t>
            </w:r>
          </w:p>
        </w:tc>
        <w:tc>
          <w:tcPr>
            <w:tcW w:w="1128"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C002F5" w:rsidRPr="00C002F5" w:rsidRDefault="00C002F5" w:rsidP="00C002F5">
            <w:pPr>
              <w:widowControl/>
              <w:spacing w:line="540" w:lineRule="atLeast"/>
              <w:jc w:val="center"/>
              <w:rPr>
                <w:rFonts w:asciiTheme="minorEastAsia" w:hAnsiTheme="minorEastAsia" w:cs="宋体"/>
                <w:color w:val="000000"/>
                <w:kern w:val="0"/>
                <w:sz w:val="24"/>
                <w:szCs w:val="24"/>
              </w:rPr>
            </w:pPr>
            <w:r w:rsidRPr="00C002F5">
              <w:rPr>
                <w:rFonts w:asciiTheme="minorEastAsia" w:hAnsiTheme="minorEastAsia" w:cs="宋体" w:hint="eastAsia"/>
                <w:color w:val="000000"/>
                <w:kern w:val="0"/>
                <w:szCs w:val="21"/>
              </w:rPr>
              <w:t>50</w:t>
            </w:r>
          </w:p>
        </w:tc>
      </w:tr>
      <w:tr w:rsidR="00C002F5" w:rsidRPr="00C002F5" w:rsidTr="00C002F5">
        <w:trPr>
          <w:trHeight w:val="670"/>
          <w:jc w:val="center"/>
        </w:trPr>
        <w:tc>
          <w:tcPr>
            <w:tcW w:w="0" w:type="auto"/>
            <w:vMerge/>
            <w:tcBorders>
              <w:top w:val="nil"/>
              <w:left w:val="single" w:sz="8" w:space="0" w:color="auto"/>
              <w:bottom w:val="single" w:sz="8" w:space="0" w:color="auto"/>
              <w:right w:val="single" w:sz="8" w:space="0" w:color="auto"/>
            </w:tcBorders>
            <w:vAlign w:val="center"/>
            <w:hideMark/>
          </w:tcPr>
          <w:p w:rsidR="00C002F5" w:rsidRPr="00C002F5" w:rsidRDefault="00C002F5" w:rsidP="00C002F5">
            <w:pPr>
              <w:widowControl/>
              <w:jc w:val="left"/>
              <w:rPr>
                <w:rFonts w:asciiTheme="minorEastAsia" w:hAnsiTheme="minorEastAsia" w:cs="宋体"/>
                <w:color w:val="000000"/>
                <w:kern w:val="0"/>
                <w:sz w:val="24"/>
                <w:szCs w:val="24"/>
              </w:rPr>
            </w:pPr>
          </w:p>
        </w:tc>
        <w:tc>
          <w:tcPr>
            <w:tcW w:w="2826"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C002F5" w:rsidRPr="00C002F5" w:rsidRDefault="00C002F5" w:rsidP="00C002F5">
            <w:pPr>
              <w:widowControl/>
              <w:spacing w:line="540" w:lineRule="atLeast"/>
              <w:jc w:val="center"/>
              <w:rPr>
                <w:rFonts w:asciiTheme="minorEastAsia" w:hAnsiTheme="minorEastAsia" w:cs="宋体" w:hint="eastAsia"/>
                <w:color w:val="000000"/>
                <w:kern w:val="0"/>
                <w:sz w:val="24"/>
                <w:szCs w:val="24"/>
              </w:rPr>
            </w:pPr>
            <w:proofErr w:type="gramStart"/>
            <w:r w:rsidRPr="00C002F5">
              <w:rPr>
                <w:rFonts w:asciiTheme="minorEastAsia" w:hAnsiTheme="minorEastAsia" w:cs="宋体" w:hint="eastAsia"/>
                <w:color w:val="000000"/>
                <w:kern w:val="0"/>
                <w:szCs w:val="21"/>
              </w:rPr>
              <w:t>链篦机回转窑</w:t>
            </w:r>
            <w:proofErr w:type="gramEnd"/>
          </w:p>
          <w:p w:rsidR="00C002F5" w:rsidRPr="00C002F5" w:rsidRDefault="00C002F5" w:rsidP="00C002F5">
            <w:pPr>
              <w:widowControl/>
              <w:spacing w:line="540" w:lineRule="atLeast"/>
              <w:jc w:val="center"/>
              <w:rPr>
                <w:rFonts w:asciiTheme="minorEastAsia" w:hAnsiTheme="minorEastAsia" w:cs="宋体"/>
                <w:color w:val="000000"/>
                <w:kern w:val="0"/>
                <w:sz w:val="24"/>
                <w:szCs w:val="24"/>
              </w:rPr>
            </w:pPr>
            <w:r w:rsidRPr="00C002F5">
              <w:rPr>
                <w:rFonts w:asciiTheme="minorEastAsia" w:hAnsiTheme="minorEastAsia" w:cs="宋体" w:hint="eastAsia"/>
                <w:color w:val="000000"/>
                <w:kern w:val="0"/>
                <w:szCs w:val="21"/>
              </w:rPr>
              <w:t>带式球团焙烧机</w:t>
            </w:r>
          </w:p>
        </w:tc>
        <w:tc>
          <w:tcPr>
            <w:tcW w:w="1283"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C002F5" w:rsidRPr="00C002F5" w:rsidRDefault="00C002F5" w:rsidP="00C002F5">
            <w:pPr>
              <w:widowControl/>
              <w:spacing w:line="540" w:lineRule="atLeast"/>
              <w:jc w:val="center"/>
              <w:rPr>
                <w:rFonts w:asciiTheme="minorEastAsia" w:hAnsiTheme="minorEastAsia" w:cs="宋体"/>
                <w:color w:val="000000"/>
                <w:kern w:val="0"/>
                <w:sz w:val="24"/>
                <w:szCs w:val="24"/>
              </w:rPr>
            </w:pPr>
            <w:r w:rsidRPr="00C002F5">
              <w:rPr>
                <w:rFonts w:asciiTheme="minorEastAsia" w:hAnsiTheme="minorEastAsia" w:cs="宋体" w:hint="eastAsia"/>
                <w:color w:val="000000"/>
                <w:kern w:val="0"/>
                <w:szCs w:val="21"/>
              </w:rPr>
              <w:t>18</w:t>
            </w:r>
          </w:p>
        </w:tc>
        <w:tc>
          <w:tcPr>
            <w:tcW w:w="895"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C002F5" w:rsidRPr="00C002F5" w:rsidRDefault="00C002F5" w:rsidP="00C002F5">
            <w:pPr>
              <w:widowControl/>
              <w:spacing w:line="540" w:lineRule="atLeast"/>
              <w:jc w:val="center"/>
              <w:rPr>
                <w:rFonts w:asciiTheme="minorEastAsia" w:hAnsiTheme="minorEastAsia" w:cs="宋体"/>
                <w:color w:val="000000"/>
                <w:kern w:val="0"/>
                <w:sz w:val="24"/>
                <w:szCs w:val="24"/>
              </w:rPr>
            </w:pPr>
            <w:r w:rsidRPr="00C002F5">
              <w:rPr>
                <w:rFonts w:asciiTheme="minorEastAsia" w:hAnsiTheme="minorEastAsia" w:cs="宋体" w:hint="eastAsia"/>
                <w:color w:val="000000"/>
                <w:kern w:val="0"/>
                <w:szCs w:val="21"/>
              </w:rPr>
              <w:t>10</w:t>
            </w:r>
          </w:p>
        </w:tc>
        <w:tc>
          <w:tcPr>
            <w:tcW w:w="1000"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C002F5" w:rsidRPr="00C002F5" w:rsidRDefault="00C002F5" w:rsidP="00C002F5">
            <w:pPr>
              <w:widowControl/>
              <w:spacing w:line="540" w:lineRule="atLeast"/>
              <w:jc w:val="center"/>
              <w:rPr>
                <w:rFonts w:asciiTheme="minorEastAsia" w:hAnsiTheme="minorEastAsia" w:cs="宋体"/>
                <w:color w:val="000000"/>
                <w:kern w:val="0"/>
                <w:sz w:val="24"/>
                <w:szCs w:val="24"/>
              </w:rPr>
            </w:pPr>
            <w:r w:rsidRPr="00C002F5">
              <w:rPr>
                <w:rFonts w:asciiTheme="minorEastAsia" w:hAnsiTheme="minorEastAsia" w:cs="宋体" w:hint="eastAsia"/>
                <w:color w:val="000000"/>
                <w:kern w:val="0"/>
                <w:szCs w:val="21"/>
              </w:rPr>
              <w:t>35</w:t>
            </w:r>
          </w:p>
        </w:tc>
        <w:tc>
          <w:tcPr>
            <w:tcW w:w="1128"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C002F5" w:rsidRPr="00C002F5" w:rsidRDefault="00C002F5" w:rsidP="00C002F5">
            <w:pPr>
              <w:widowControl/>
              <w:spacing w:line="540" w:lineRule="atLeast"/>
              <w:jc w:val="center"/>
              <w:rPr>
                <w:rFonts w:asciiTheme="minorEastAsia" w:hAnsiTheme="minorEastAsia" w:cs="宋体"/>
                <w:color w:val="000000"/>
                <w:kern w:val="0"/>
                <w:sz w:val="24"/>
                <w:szCs w:val="24"/>
              </w:rPr>
            </w:pPr>
            <w:r w:rsidRPr="00C002F5">
              <w:rPr>
                <w:rFonts w:asciiTheme="minorEastAsia" w:hAnsiTheme="minorEastAsia" w:cs="宋体" w:hint="eastAsia"/>
                <w:color w:val="000000"/>
                <w:kern w:val="0"/>
                <w:szCs w:val="21"/>
              </w:rPr>
              <w:t>50</w:t>
            </w:r>
          </w:p>
        </w:tc>
      </w:tr>
      <w:tr w:rsidR="00C002F5" w:rsidRPr="00C002F5" w:rsidTr="00C002F5">
        <w:trPr>
          <w:trHeight w:val="976"/>
          <w:jc w:val="center"/>
        </w:trPr>
        <w:tc>
          <w:tcPr>
            <w:tcW w:w="0" w:type="auto"/>
            <w:vMerge/>
            <w:tcBorders>
              <w:top w:val="nil"/>
              <w:left w:val="single" w:sz="8" w:space="0" w:color="auto"/>
              <w:bottom w:val="single" w:sz="8" w:space="0" w:color="auto"/>
              <w:right w:val="single" w:sz="8" w:space="0" w:color="auto"/>
            </w:tcBorders>
            <w:vAlign w:val="center"/>
            <w:hideMark/>
          </w:tcPr>
          <w:p w:rsidR="00C002F5" w:rsidRPr="00C002F5" w:rsidRDefault="00C002F5" w:rsidP="00C002F5">
            <w:pPr>
              <w:widowControl/>
              <w:jc w:val="left"/>
              <w:rPr>
                <w:rFonts w:asciiTheme="minorEastAsia" w:hAnsiTheme="minorEastAsia" w:cs="宋体"/>
                <w:color w:val="000000"/>
                <w:kern w:val="0"/>
                <w:sz w:val="24"/>
                <w:szCs w:val="24"/>
              </w:rPr>
            </w:pPr>
          </w:p>
        </w:tc>
        <w:tc>
          <w:tcPr>
            <w:tcW w:w="2826"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C002F5" w:rsidRPr="00C002F5" w:rsidRDefault="00C002F5" w:rsidP="00C002F5">
            <w:pPr>
              <w:widowControl/>
              <w:spacing w:line="540" w:lineRule="atLeast"/>
              <w:jc w:val="center"/>
              <w:rPr>
                <w:rFonts w:asciiTheme="minorEastAsia" w:hAnsiTheme="minorEastAsia" w:cs="宋体" w:hint="eastAsia"/>
                <w:color w:val="000000"/>
                <w:kern w:val="0"/>
                <w:sz w:val="24"/>
                <w:szCs w:val="24"/>
              </w:rPr>
            </w:pPr>
            <w:r w:rsidRPr="00C002F5">
              <w:rPr>
                <w:rFonts w:asciiTheme="minorEastAsia" w:hAnsiTheme="minorEastAsia" w:cs="宋体" w:hint="eastAsia"/>
                <w:color w:val="000000"/>
                <w:kern w:val="0"/>
                <w:szCs w:val="21"/>
              </w:rPr>
              <w:t>烧结机机尾</w:t>
            </w:r>
          </w:p>
          <w:p w:rsidR="00C002F5" w:rsidRPr="00C002F5" w:rsidRDefault="00C002F5" w:rsidP="00C002F5">
            <w:pPr>
              <w:widowControl/>
              <w:spacing w:line="540" w:lineRule="atLeast"/>
              <w:jc w:val="center"/>
              <w:rPr>
                <w:rFonts w:asciiTheme="minorEastAsia" w:hAnsiTheme="minorEastAsia" w:cs="宋体"/>
                <w:color w:val="000000"/>
                <w:kern w:val="0"/>
                <w:sz w:val="24"/>
                <w:szCs w:val="24"/>
              </w:rPr>
            </w:pPr>
            <w:r w:rsidRPr="00C002F5">
              <w:rPr>
                <w:rFonts w:asciiTheme="minorEastAsia" w:hAnsiTheme="minorEastAsia" w:cs="宋体" w:hint="eastAsia"/>
                <w:color w:val="000000"/>
                <w:kern w:val="0"/>
                <w:szCs w:val="21"/>
              </w:rPr>
              <w:t>其他生产设备</w:t>
            </w:r>
          </w:p>
        </w:tc>
        <w:tc>
          <w:tcPr>
            <w:tcW w:w="1283"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C002F5" w:rsidRPr="00C002F5" w:rsidRDefault="00C002F5" w:rsidP="00C002F5">
            <w:pPr>
              <w:widowControl/>
              <w:spacing w:line="540" w:lineRule="atLeast"/>
              <w:jc w:val="center"/>
              <w:rPr>
                <w:rFonts w:asciiTheme="minorEastAsia" w:hAnsiTheme="minorEastAsia" w:cs="宋体"/>
                <w:color w:val="000000"/>
                <w:kern w:val="0"/>
                <w:sz w:val="24"/>
                <w:szCs w:val="24"/>
              </w:rPr>
            </w:pPr>
            <w:r w:rsidRPr="00C002F5">
              <w:rPr>
                <w:rFonts w:asciiTheme="minorEastAsia" w:hAnsiTheme="minorEastAsia" w:cs="宋体" w:hint="eastAsia"/>
                <w:color w:val="000000"/>
                <w:kern w:val="0"/>
                <w:szCs w:val="21"/>
              </w:rPr>
              <w:t>—</w:t>
            </w:r>
          </w:p>
        </w:tc>
        <w:tc>
          <w:tcPr>
            <w:tcW w:w="895"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C002F5" w:rsidRPr="00C002F5" w:rsidRDefault="00C002F5" w:rsidP="00C002F5">
            <w:pPr>
              <w:widowControl/>
              <w:spacing w:line="540" w:lineRule="atLeast"/>
              <w:jc w:val="center"/>
              <w:rPr>
                <w:rFonts w:asciiTheme="minorEastAsia" w:hAnsiTheme="minorEastAsia" w:cs="宋体"/>
                <w:color w:val="000000"/>
                <w:kern w:val="0"/>
                <w:sz w:val="24"/>
                <w:szCs w:val="24"/>
              </w:rPr>
            </w:pPr>
            <w:r w:rsidRPr="00C002F5">
              <w:rPr>
                <w:rFonts w:asciiTheme="minorEastAsia" w:hAnsiTheme="minorEastAsia" w:cs="宋体" w:hint="eastAsia"/>
                <w:color w:val="000000"/>
                <w:kern w:val="0"/>
                <w:szCs w:val="21"/>
              </w:rPr>
              <w:t>10</w:t>
            </w:r>
          </w:p>
        </w:tc>
        <w:tc>
          <w:tcPr>
            <w:tcW w:w="1000"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C002F5" w:rsidRPr="00C002F5" w:rsidRDefault="00C002F5" w:rsidP="00C002F5">
            <w:pPr>
              <w:widowControl/>
              <w:spacing w:line="540" w:lineRule="atLeast"/>
              <w:jc w:val="center"/>
              <w:rPr>
                <w:rFonts w:asciiTheme="minorEastAsia" w:hAnsiTheme="minorEastAsia" w:cs="宋体"/>
                <w:color w:val="000000"/>
                <w:kern w:val="0"/>
                <w:sz w:val="24"/>
                <w:szCs w:val="24"/>
              </w:rPr>
            </w:pPr>
            <w:r w:rsidRPr="00C002F5">
              <w:rPr>
                <w:rFonts w:asciiTheme="minorEastAsia" w:hAnsiTheme="minorEastAsia" w:cs="宋体" w:hint="eastAsia"/>
                <w:color w:val="000000"/>
                <w:kern w:val="0"/>
                <w:szCs w:val="21"/>
              </w:rPr>
              <w:t>—</w:t>
            </w:r>
          </w:p>
        </w:tc>
        <w:tc>
          <w:tcPr>
            <w:tcW w:w="1128"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C002F5" w:rsidRPr="00C002F5" w:rsidRDefault="00C002F5" w:rsidP="00C002F5">
            <w:pPr>
              <w:widowControl/>
              <w:spacing w:line="540" w:lineRule="atLeast"/>
              <w:jc w:val="center"/>
              <w:rPr>
                <w:rFonts w:asciiTheme="minorEastAsia" w:hAnsiTheme="minorEastAsia" w:cs="宋体"/>
                <w:color w:val="000000"/>
                <w:kern w:val="0"/>
                <w:sz w:val="24"/>
                <w:szCs w:val="24"/>
              </w:rPr>
            </w:pPr>
            <w:r w:rsidRPr="00C002F5">
              <w:rPr>
                <w:rFonts w:asciiTheme="minorEastAsia" w:hAnsiTheme="minorEastAsia" w:cs="宋体" w:hint="eastAsia"/>
                <w:color w:val="000000"/>
                <w:kern w:val="0"/>
                <w:szCs w:val="21"/>
              </w:rPr>
              <w:t>—</w:t>
            </w:r>
          </w:p>
        </w:tc>
      </w:tr>
      <w:tr w:rsidR="00C002F5" w:rsidRPr="00C002F5" w:rsidTr="00C002F5">
        <w:trPr>
          <w:trHeight w:val="397"/>
          <w:jc w:val="center"/>
        </w:trPr>
        <w:tc>
          <w:tcPr>
            <w:tcW w:w="1310"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C002F5" w:rsidRPr="00C002F5" w:rsidRDefault="00C002F5" w:rsidP="00C002F5">
            <w:pPr>
              <w:widowControl/>
              <w:spacing w:line="540" w:lineRule="atLeast"/>
              <w:jc w:val="center"/>
              <w:rPr>
                <w:rFonts w:asciiTheme="minorEastAsia" w:hAnsiTheme="minorEastAsia" w:cs="宋体"/>
                <w:color w:val="000000"/>
                <w:kern w:val="0"/>
                <w:sz w:val="24"/>
                <w:szCs w:val="24"/>
              </w:rPr>
            </w:pPr>
            <w:r w:rsidRPr="00C002F5">
              <w:rPr>
                <w:rFonts w:asciiTheme="minorEastAsia" w:hAnsiTheme="minorEastAsia" w:cs="宋体" w:hint="eastAsia"/>
                <w:color w:val="000000"/>
                <w:kern w:val="0"/>
                <w:szCs w:val="21"/>
              </w:rPr>
              <w:t>炼焦</w:t>
            </w:r>
          </w:p>
        </w:tc>
        <w:tc>
          <w:tcPr>
            <w:tcW w:w="2826"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C002F5" w:rsidRPr="00C002F5" w:rsidRDefault="00C002F5" w:rsidP="00C002F5">
            <w:pPr>
              <w:widowControl/>
              <w:spacing w:line="540" w:lineRule="atLeast"/>
              <w:jc w:val="center"/>
              <w:rPr>
                <w:rFonts w:asciiTheme="minorEastAsia" w:hAnsiTheme="minorEastAsia" w:cs="宋体"/>
                <w:color w:val="000000"/>
                <w:kern w:val="0"/>
                <w:sz w:val="24"/>
                <w:szCs w:val="24"/>
              </w:rPr>
            </w:pPr>
            <w:r w:rsidRPr="00C002F5">
              <w:rPr>
                <w:rFonts w:asciiTheme="minorEastAsia" w:hAnsiTheme="minorEastAsia" w:cs="宋体" w:hint="eastAsia"/>
                <w:color w:val="000000"/>
                <w:kern w:val="0"/>
                <w:szCs w:val="21"/>
              </w:rPr>
              <w:t>焦炉烟囱</w:t>
            </w:r>
          </w:p>
        </w:tc>
        <w:tc>
          <w:tcPr>
            <w:tcW w:w="1283"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C002F5" w:rsidRPr="00C002F5" w:rsidRDefault="00C002F5" w:rsidP="00C002F5">
            <w:pPr>
              <w:widowControl/>
              <w:spacing w:line="540" w:lineRule="atLeast"/>
              <w:jc w:val="center"/>
              <w:rPr>
                <w:rFonts w:asciiTheme="minorEastAsia" w:hAnsiTheme="minorEastAsia" w:cs="宋体"/>
                <w:color w:val="000000"/>
                <w:kern w:val="0"/>
                <w:sz w:val="24"/>
                <w:szCs w:val="24"/>
              </w:rPr>
            </w:pPr>
            <w:r w:rsidRPr="00C002F5">
              <w:rPr>
                <w:rFonts w:asciiTheme="minorEastAsia" w:hAnsiTheme="minorEastAsia" w:cs="宋体" w:hint="eastAsia"/>
                <w:color w:val="000000"/>
                <w:kern w:val="0"/>
                <w:szCs w:val="21"/>
              </w:rPr>
              <w:t>8</w:t>
            </w:r>
          </w:p>
        </w:tc>
        <w:tc>
          <w:tcPr>
            <w:tcW w:w="895"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C002F5" w:rsidRPr="00C002F5" w:rsidRDefault="00C002F5" w:rsidP="00C002F5">
            <w:pPr>
              <w:widowControl/>
              <w:spacing w:line="540" w:lineRule="atLeast"/>
              <w:jc w:val="center"/>
              <w:rPr>
                <w:rFonts w:asciiTheme="minorEastAsia" w:hAnsiTheme="minorEastAsia" w:cs="宋体"/>
                <w:color w:val="000000"/>
                <w:kern w:val="0"/>
                <w:sz w:val="24"/>
                <w:szCs w:val="24"/>
              </w:rPr>
            </w:pPr>
            <w:r w:rsidRPr="00C002F5">
              <w:rPr>
                <w:rFonts w:asciiTheme="minorEastAsia" w:hAnsiTheme="minorEastAsia" w:cs="宋体" w:hint="eastAsia"/>
                <w:color w:val="000000"/>
                <w:kern w:val="0"/>
                <w:szCs w:val="21"/>
              </w:rPr>
              <w:t>10</w:t>
            </w:r>
          </w:p>
        </w:tc>
        <w:tc>
          <w:tcPr>
            <w:tcW w:w="1000"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C002F5" w:rsidRPr="00C002F5" w:rsidRDefault="00C002F5" w:rsidP="00C002F5">
            <w:pPr>
              <w:widowControl/>
              <w:spacing w:line="540" w:lineRule="atLeast"/>
              <w:jc w:val="center"/>
              <w:rPr>
                <w:rFonts w:asciiTheme="minorEastAsia" w:hAnsiTheme="minorEastAsia" w:cs="宋体"/>
                <w:color w:val="000000"/>
                <w:kern w:val="0"/>
                <w:sz w:val="24"/>
                <w:szCs w:val="24"/>
              </w:rPr>
            </w:pPr>
            <w:r w:rsidRPr="00C002F5">
              <w:rPr>
                <w:rFonts w:asciiTheme="minorEastAsia" w:hAnsiTheme="minorEastAsia" w:cs="宋体" w:hint="eastAsia"/>
                <w:color w:val="000000"/>
                <w:kern w:val="0"/>
                <w:szCs w:val="21"/>
              </w:rPr>
              <w:t>30</w:t>
            </w:r>
          </w:p>
        </w:tc>
        <w:tc>
          <w:tcPr>
            <w:tcW w:w="1128"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C002F5" w:rsidRPr="00C002F5" w:rsidRDefault="00C002F5" w:rsidP="00C002F5">
            <w:pPr>
              <w:widowControl/>
              <w:spacing w:line="540" w:lineRule="atLeast"/>
              <w:jc w:val="center"/>
              <w:rPr>
                <w:rFonts w:asciiTheme="minorEastAsia" w:hAnsiTheme="minorEastAsia" w:cs="宋体"/>
                <w:color w:val="000000"/>
                <w:kern w:val="0"/>
                <w:sz w:val="24"/>
                <w:szCs w:val="24"/>
              </w:rPr>
            </w:pPr>
            <w:r w:rsidRPr="00C002F5">
              <w:rPr>
                <w:rFonts w:asciiTheme="minorEastAsia" w:hAnsiTheme="minorEastAsia" w:cs="宋体" w:hint="eastAsia"/>
                <w:color w:val="000000"/>
                <w:kern w:val="0"/>
                <w:szCs w:val="21"/>
              </w:rPr>
              <w:t>150</w:t>
            </w:r>
          </w:p>
        </w:tc>
      </w:tr>
      <w:tr w:rsidR="00C002F5" w:rsidRPr="00C002F5" w:rsidTr="00C002F5">
        <w:trPr>
          <w:trHeight w:val="397"/>
          <w:jc w:val="center"/>
        </w:trPr>
        <w:tc>
          <w:tcPr>
            <w:tcW w:w="0" w:type="auto"/>
            <w:vMerge/>
            <w:tcBorders>
              <w:top w:val="nil"/>
              <w:left w:val="single" w:sz="8" w:space="0" w:color="auto"/>
              <w:bottom w:val="single" w:sz="8" w:space="0" w:color="auto"/>
              <w:right w:val="single" w:sz="8" w:space="0" w:color="auto"/>
            </w:tcBorders>
            <w:vAlign w:val="center"/>
            <w:hideMark/>
          </w:tcPr>
          <w:p w:rsidR="00C002F5" w:rsidRPr="00C002F5" w:rsidRDefault="00C002F5" w:rsidP="00C002F5">
            <w:pPr>
              <w:widowControl/>
              <w:jc w:val="left"/>
              <w:rPr>
                <w:rFonts w:asciiTheme="minorEastAsia" w:hAnsiTheme="minorEastAsia" w:cs="宋体"/>
                <w:color w:val="000000"/>
                <w:kern w:val="0"/>
                <w:sz w:val="24"/>
                <w:szCs w:val="24"/>
              </w:rPr>
            </w:pPr>
          </w:p>
        </w:tc>
        <w:tc>
          <w:tcPr>
            <w:tcW w:w="2826"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C002F5" w:rsidRPr="00C002F5" w:rsidRDefault="00C002F5" w:rsidP="00C002F5">
            <w:pPr>
              <w:widowControl/>
              <w:spacing w:line="540" w:lineRule="atLeast"/>
              <w:jc w:val="center"/>
              <w:rPr>
                <w:rFonts w:asciiTheme="minorEastAsia" w:hAnsiTheme="minorEastAsia" w:cs="宋体"/>
                <w:color w:val="000000"/>
                <w:kern w:val="0"/>
                <w:sz w:val="24"/>
                <w:szCs w:val="24"/>
              </w:rPr>
            </w:pPr>
            <w:r w:rsidRPr="00C002F5">
              <w:rPr>
                <w:rFonts w:asciiTheme="minorEastAsia" w:hAnsiTheme="minorEastAsia" w:cs="宋体" w:hint="eastAsia"/>
                <w:color w:val="000000"/>
                <w:kern w:val="0"/>
                <w:szCs w:val="21"/>
              </w:rPr>
              <w:t>装煤、推焦</w:t>
            </w:r>
          </w:p>
        </w:tc>
        <w:tc>
          <w:tcPr>
            <w:tcW w:w="1283"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C002F5" w:rsidRPr="00C002F5" w:rsidRDefault="00C002F5" w:rsidP="00C002F5">
            <w:pPr>
              <w:widowControl/>
              <w:spacing w:line="540" w:lineRule="atLeast"/>
              <w:jc w:val="center"/>
              <w:rPr>
                <w:rFonts w:asciiTheme="minorEastAsia" w:hAnsiTheme="minorEastAsia" w:cs="宋体"/>
                <w:color w:val="000000"/>
                <w:kern w:val="0"/>
                <w:sz w:val="24"/>
                <w:szCs w:val="24"/>
              </w:rPr>
            </w:pPr>
            <w:r w:rsidRPr="00C002F5">
              <w:rPr>
                <w:rFonts w:asciiTheme="minorEastAsia" w:hAnsiTheme="minorEastAsia" w:cs="宋体" w:hint="eastAsia"/>
                <w:color w:val="000000"/>
                <w:kern w:val="0"/>
                <w:szCs w:val="21"/>
              </w:rPr>
              <w:t>—</w:t>
            </w:r>
          </w:p>
        </w:tc>
        <w:tc>
          <w:tcPr>
            <w:tcW w:w="895"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C002F5" w:rsidRPr="00C002F5" w:rsidRDefault="00C002F5" w:rsidP="00C002F5">
            <w:pPr>
              <w:widowControl/>
              <w:spacing w:line="540" w:lineRule="atLeast"/>
              <w:jc w:val="center"/>
              <w:rPr>
                <w:rFonts w:asciiTheme="minorEastAsia" w:hAnsiTheme="minorEastAsia" w:cs="宋体"/>
                <w:color w:val="000000"/>
                <w:kern w:val="0"/>
                <w:sz w:val="24"/>
                <w:szCs w:val="24"/>
              </w:rPr>
            </w:pPr>
            <w:r w:rsidRPr="00C002F5">
              <w:rPr>
                <w:rFonts w:asciiTheme="minorEastAsia" w:hAnsiTheme="minorEastAsia" w:cs="宋体" w:hint="eastAsia"/>
                <w:color w:val="000000"/>
                <w:kern w:val="0"/>
                <w:szCs w:val="21"/>
              </w:rPr>
              <w:t>10</w:t>
            </w:r>
          </w:p>
        </w:tc>
        <w:tc>
          <w:tcPr>
            <w:tcW w:w="1000"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C002F5" w:rsidRPr="00C002F5" w:rsidRDefault="00C002F5" w:rsidP="00C002F5">
            <w:pPr>
              <w:widowControl/>
              <w:spacing w:line="540" w:lineRule="atLeast"/>
              <w:jc w:val="center"/>
              <w:rPr>
                <w:rFonts w:asciiTheme="minorEastAsia" w:hAnsiTheme="minorEastAsia" w:cs="宋体"/>
                <w:color w:val="000000"/>
                <w:kern w:val="0"/>
                <w:sz w:val="24"/>
                <w:szCs w:val="24"/>
              </w:rPr>
            </w:pPr>
            <w:r w:rsidRPr="00C002F5">
              <w:rPr>
                <w:rFonts w:asciiTheme="minorEastAsia" w:hAnsiTheme="minorEastAsia" w:cs="宋体" w:hint="eastAsia"/>
                <w:color w:val="000000"/>
                <w:kern w:val="0"/>
                <w:szCs w:val="21"/>
              </w:rPr>
              <w:t> </w:t>
            </w:r>
          </w:p>
        </w:tc>
        <w:tc>
          <w:tcPr>
            <w:tcW w:w="1128"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C002F5" w:rsidRPr="00C002F5" w:rsidRDefault="00C002F5" w:rsidP="00C002F5">
            <w:pPr>
              <w:widowControl/>
              <w:spacing w:line="540" w:lineRule="atLeast"/>
              <w:jc w:val="center"/>
              <w:rPr>
                <w:rFonts w:asciiTheme="minorEastAsia" w:hAnsiTheme="minorEastAsia" w:cs="宋体"/>
                <w:color w:val="000000"/>
                <w:kern w:val="0"/>
                <w:sz w:val="24"/>
                <w:szCs w:val="24"/>
              </w:rPr>
            </w:pPr>
            <w:r w:rsidRPr="00C002F5">
              <w:rPr>
                <w:rFonts w:asciiTheme="minorEastAsia" w:hAnsiTheme="minorEastAsia" w:cs="宋体" w:hint="eastAsia"/>
                <w:color w:val="000000"/>
                <w:kern w:val="0"/>
                <w:szCs w:val="21"/>
              </w:rPr>
              <w:t>—</w:t>
            </w:r>
          </w:p>
        </w:tc>
      </w:tr>
      <w:tr w:rsidR="00C002F5" w:rsidRPr="00C002F5" w:rsidTr="00C002F5">
        <w:trPr>
          <w:trHeight w:val="397"/>
          <w:jc w:val="center"/>
        </w:trPr>
        <w:tc>
          <w:tcPr>
            <w:tcW w:w="0" w:type="auto"/>
            <w:vMerge/>
            <w:tcBorders>
              <w:top w:val="nil"/>
              <w:left w:val="single" w:sz="8" w:space="0" w:color="auto"/>
              <w:bottom w:val="single" w:sz="8" w:space="0" w:color="auto"/>
              <w:right w:val="single" w:sz="8" w:space="0" w:color="auto"/>
            </w:tcBorders>
            <w:vAlign w:val="center"/>
            <w:hideMark/>
          </w:tcPr>
          <w:p w:rsidR="00C002F5" w:rsidRPr="00C002F5" w:rsidRDefault="00C002F5" w:rsidP="00C002F5">
            <w:pPr>
              <w:widowControl/>
              <w:jc w:val="left"/>
              <w:rPr>
                <w:rFonts w:asciiTheme="minorEastAsia" w:hAnsiTheme="minorEastAsia" w:cs="宋体"/>
                <w:color w:val="000000"/>
                <w:kern w:val="0"/>
                <w:sz w:val="24"/>
                <w:szCs w:val="24"/>
              </w:rPr>
            </w:pPr>
          </w:p>
        </w:tc>
        <w:tc>
          <w:tcPr>
            <w:tcW w:w="2826"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C002F5" w:rsidRPr="00C002F5" w:rsidRDefault="00C002F5" w:rsidP="00C002F5">
            <w:pPr>
              <w:widowControl/>
              <w:spacing w:line="540" w:lineRule="atLeast"/>
              <w:jc w:val="center"/>
              <w:rPr>
                <w:rFonts w:asciiTheme="minorEastAsia" w:hAnsiTheme="minorEastAsia" w:cs="宋体"/>
                <w:color w:val="000000"/>
                <w:kern w:val="0"/>
                <w:sz w:val="24"/>
                <w:szCs w:val="24"/>
              </w:rPr>
            </w:pPr>
            <w:r w:rsidRPr="00C002F5">
              <w:rPr>
                <w:rFonts w:asciiTheme="minorEastAsia" w:hAnsiTheme="minorEastAsia" w:cs="宋体" w:hint="eastAsia"/>
                <w:color w:val="000000"/>
                <w:kern w:val="0"/>
                <w:szCs w:val="21"/>
              </w:rPr>
              <w:t>干法熄焦</w:t>
            </w:r>
          </w:p>
        </w:tc>
        <w:tc>
          <w:tcPr>
            <w:tcW w:w="1283"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C002F5" w:rsidRPr="00C002F5" w:rsidRDefault="00C002F5" w:rsidP="00C002F5">
            <w:pPr>
              <w:widowControl/>
              <w:spacing w:line="540" w:lineRule="atLeast"/>
              <w:jc w:val="center"/>
              <w:rPr>
                <w:rFonts w:asciiTheme="minorEastAsia" w:hAnsiTheme="minorEastAsia" w:cs="宋体"/>
                <w:color w:val="000000"/>
                <w:kern w:val="0"/>
                <w:sz w:val="24"/>
                <w:szCs w:val="24"/>
              </w:rPr>
            </w:pPr>
            <w:r w:rsidRPr="00C002F5">
              <w:rPr>
                <w:rFonts w:asciiTheme="minorEastAsia" w:hAnsiTheme="minorEastAsia" w:cs="宋体" w:hint="eastAsia"/>
                <w:color w:val="000000"/>
                <w:kern w:val="0"/>
                <w:szCs w:val="21"/>
              </w:rPr>
              <w:t>—</w:t>
            </w:r>
          </w:p>
        </w:tc>
        <w:tc>
          <w:tcPr>
            <w:tcW w:w="895"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C002F5" w:rsidRPr="00C002F5" w:rsidRDefault="00C002F5" w:rsidP="00C002F5">
            <w:pPr>
              <w:widowControl/>
              <w:spacing w:line="540" w:lineRule="atLeast"/>
              <w:jc w:val="center"/>
              <w:rPr>
                <w:rFonts w:asciiTheme="minorEastAsia" w:hAnsiTheme="minorEastAsia" w:cs="宋体"/>
                <w:color w:val="000000"/>
                <w:kern w:val="0"/>
                <w:sz w:val="24"/>
                <w:szCs w:val="24"/>
              </w:rPr>
            </w:pPr>
            <w:r w:rsidRPr="00C002F5">
              <w:rPr>
                <w:rFonts w:asciiTheme="minorEastAsia" w:hAnsiTheme="minorEastAsia" w:cs="宋体" w:hint="eastAsia"/>
                <w:color w:val="000000"/>
                <w:kern w:val="0"/>
                <w:szCs w:val="21"/>
              </w:rPr>
              <w:t>10</w:t>
            </w:r>
          </w:p>
        </w:tc>
        <w:tc>
          <w:tcPr>
            <w:tcW w:w="1000"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C002F5" w:rsidRPr="00C002F5" w:rsidRDefault="00C002F5" w:rsidP="00C002F5">
            <w:pPr>
              <w:widowControl/>
              <w:spacing w:line="540" w:lineRule="atLeast"/>
              <w:jc w:val="center"/>
              <w:rPr>
                <w:rFonts w:asciiTheme="minorEastAsia" w:hAnsiTheme="minorEastAsia" w:cs="宋体"/>
                <w:color w:val="000000"/>
                <w:kern w:val="0"/>
                <w:sz w:val="24"/>
                <w:szCs w:val="24"/>
              </w:rPr>
            </w:pPr>
            <w:r w:rsidRPr="00C002F5">
              <w:rPr>
                <w:rFonts w:asciiTheme="minorEastAsia" w:hAnsiTheme="minorEastAsia" w:cs="宋体" w:hint="eastAsia"/>
                <w:color w:val="000000"/>
                <w:kern w:val="0"/>
                <w:szCs w:val="21"/>
              </w:rPr>
              <w:t>50</w:t>
            </w:r>
          </w:p>
        </w:tc>
        <w:tc>
          <w:tcPr>
            <w:tcW w:w="1128"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C002F5" w:rsidRPr="00C002F5" w:rsidRDefault="00C002F5" w:rsidP="00C002F5">
            <w:pPr>
              <w:widowControl/>
              <w:spacing w:line="540" w:lineRule="atLeast"/>
              <w:jc w:val="center"/>
              <w:rPr>
                <w:rFonts w:asciiTheme="minorEastAsia" w:hAnsiTheme="minorEastAsia" w:cs="宋体"/>
                <w:color w:val="000000"/>
                <w:kern w:val="0"/>
                <w:sz w:val="24"/>
                <w:szCs w:val="24"/>
              </w:rPr>
            </w:pPr>
            <w:r w:rsidRPr="00C002F5">
              <w:rPr>
                <w:rFonts w:asciiTheme="minorEastAsia" w:hAnsiTheme="minorEastAsia" w:cs="宋体" w:hint="eastAsia"/>
                <w:color w:val="000000"/>
                <w:kern w:val="0"/>
                <w:szCs w:val="21"/>
              </w:rPr>
              <w:t>—</w:t>
            </w:r>
          </w:p>
        </w:tc>
      </w:tr>
      <w:tr w:rsidR="00C002F5" w:rsidRPr="00C002F5" w:rsidTr="00C002F5">
        <w:trPr>
          <w:trHeight w:val="397"/>
          <w:jc w:val="center"/>
        </w:trPr>
        <w:tc>
          <w:tcPr>
            <w:tcW w:w="1310"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C002F5" w:rsidRPr="00C002F5" w:rsidRDefault="00C002F5" w:rsidP="00C002F5">
            <w:pPr>
              <w:widowControl/>
              <w:spacing w:line="540" w:lineRule="atLeast"/>
              <w:jc w:val="center"/>
              <w:rPr>
                <w:rFonts w:asciiTheme="minorEastAsia" w:hAnsiTheme="minorEastAsia" w:cs="宋体"/>
                <w:color w:val="000000"/>
                <w:kern w:val="0"/>
                <w:sz w:val="24"/>
                <w:szCs w:val="24"/>
              </w:rPr>
            </w:pPr>
            <w:r w:rsidRPr="00C002F5">
              <w:rPr>
                <w:rFonts w:asciiTheme="minorEastAsia" w:hAnsiTheme="minorEastAsia" w:cs="宋体" w:hint="eastAsia"/>
                <w:color w:val="000000"/>
                <w:kern w:val="0"/>
                <w:szCs w:val="21"/>
              </w:rPr>
              <w:t>炼铁</w:t>
            </w:r>
          </w:p>
        </w:tc>
        <w:tc>
          <w:tcPr>
            <w:tcW w:w="2826"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C002F5" w:rsidRPr="00C002F5" w:rsidRDefault="00C002F5" w:rsidP="00C002F5">
            <w:pPr>
              <w:widowControl/>
              <w:spacing w:line="540" w:lineRule="atLeast"/>
              <w:jc w:val="center"/>
              <w:rPr>
                <w:rFonts w:asciiTheme="minorEastAsia" w:hAnsiTheme="minorEastAsia" w:cs="宋体"/>
                <w:color w:val="000000"/>
                <w:kern w:val="0"/>
                <w:sz w:val="24"/>
                <w:szCs w:val="24"/>
              </w:rPr>
            </w:pPr>
            <w:r w:rsidRPr="00C002F5">
              <w:rPr>
                <w:rFonts w:asciiTheme="minorEastAsia" w:hAnsiTheme="minorEastAsia" w:cs="宋体" w:hint="eastAsia"/>
                <w:color w:val="000000"/>
                <w:kern w:val="0"/>
                <w:szCs w:val="21"/>
              </w:rPr>
              <w:t>热风炉</w:t>
            </w:r>
          </w:p>
        </w:tc>
        <w:tc>
          <w:tcPr>
            <w:tcW w:w="1283"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C002F5" w:rsidRPr="00C002F5" w:rsidRDefault="00C002F5" w:rsidP="00C002F5">
            <w:pPr>
              <w:widowControl/>
              <w:spacing w:line="540" w:lineRule="atLeast"/>
              <w:jc w:val="center"/>
              <w:rPr>
                <w:rFonts w:asciiTheme="minorEastAsia" w:hAnsiTheme="minorEastAsia" w:cs="宋体"/>
                <w:color w:val="000000"/>
                <w:kern w:val="0"/>
                <w:sz w:val="24"/>
                <w:szCs w:val="24"/>
              </w:rPr>
            </w:pPr>
            <w:r w:rsidRPr="00C002F5">
              <w:rPr>
                <w:rFonts w:asciiTheme="minorEastAsia" w:hAnsiTheme="minorEastAsia" w:cs="宋体" w:hint="eastAsia"/>
                <w:color w:val="000000"/>
                <w:kern w:val="0"/>
                <w:szCs w:val="21"/>
              </w:rPr>
              <w:t>—</w:t>
            </w:r>
          </w:p>
        </w:tc>
        <w:tc>
          <w:tcPr>
            <w:tcW w:w="895"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C002F5" w:rsidRPr="00C002F5" w:rsidRDefault="00C002F5" w:rsidP="00C002F5">
            <w:pPr>
              <w:widowControl/>
              <w:spacing w:line="540" w:lineRule="atLeast"/>
              <w:jc w:val="center"/>
              <w:rPr>
                <w:rFonts w:asciiTheme="minorEastAsia" w:hAnsiTheme="minorEastAsia" w:cs="宋体"/>
                <w:color w:val="000000"/>
                <w:kern w:val="0"/>
                <w:sz w:val="24"/>
                <w:szCs w:val="24"/>
              </w:rPr>
            </w:pPr>
            <w:r w:rsidRPr="00C002F5">
              <w:rPr>
                <w:rFonts w:asciiTheme="minorEastAsia" w:hAnsiTheme="minorEastAsia" w:cs="宋体" w:hint="eastAsia"/>
                <w:color w:val="000000"/>
                <w:kern w:val="0"/>
                <w:szCs w:val="21"/>
              </w:rPr>
              <w:t>10</w:t>
            </w:r>
          </w:p>
        </w:tc>
        <w:tc>
          <w:tcPr>
            <w:tcW w:w="1000"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C002F5" w:rsidRPr="00C002F5" w:rsidRDefault="00C002F5" w:rsidP="00C002F5">
            <w:pPr>
              <w:widowControl/>
              <w:spacing w:line="540" w:lineRule="atLeast"/>
              <w:jc w:val="center"/>
              <w:rPr>
                <w:rFonts w:asciiTheme="minorEastAsia" w:hAnsiTheme="minorEastAsia" w:cs="宋体"/>
                <w:color w:val="000000"/>
                <w:kern w:val="0"/>
                <w:sz w:val="24"/>
                <w:szCs w:val="24"/>
              </w:rPr>
            </w:pPr>
            <w:r w:rsidRPr="00C002F5">
              <w:rPr>
                <w:rFonts w:asciiTheme="minorEastAsia" w:hAnsiTheme="minorEastAsia" w:cs="宋体" w:hint="eastAsia"/>
                <w:color w:val="000000"/>
                <w:kern w:val="0"/>
                <w:szCs w:val="21"/>
              </w:rPr>
              <w:t>50</w:t>
            </w:r>
          </w:p>
        </w:tc>
        <w:tc>
          <w:tcPr>
            <w:tcW w:w="1128"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C002F5" w:rsidRPr="00C002F5" w:rsidRDefault="00C002F5" w:rsidP="00C002F5">
            <w:pPr>
              <w:widowControl/>
              <w:spacing w:line="540" w:lineRule="atLeast"/>
              <w:jc w:val="center"/>
              <w:rPr>
                <w:rFonts w:asciiTheme="minorEastAsia" w:hAnsiTheme="minorEastAsia" w:cs="宋体"/>
                <w:color w:val="000000"/>
                <w:kern w:val="0"/>
                <w:sz w:val="24"/>
                <w:szCs w:val="24"/>
              </w:rPr>
            </w:pPr>
            <w:r w:rsidRPr="00C002F5">
              <w:rPr>
                <w:rFonts w:asciiTheme="minorEastAsia" w:hAnsiTheme="minorEastAsia" w:cs="宋体" w:hint="eastAsia"/>
                <w:color w:val="000000"/>
                <w:kern w:val="0"/>
                <w:szCs w:val="21"/>
              </w:rPr>
              <w:t>200</w:t>
            </w:r>
          </w:p>
        </w:tc>
      </w:tr>
      <w:tr w:rsidR="00C002F5" w:rsidRPr="00C002F5" w:rsidTr="00C002F5">
        <w:trPr>
          <w:trHeight w:val="397"/>
          <w:jc w:val="center"/>
        </w:trPr>
        <w:tc>
          <w:tcPr>
            <w:tcW w:w="0" w:type="auto"/>
            <w:vMerge/>
            <w:tcBorders>
              <w:top w:val="nil"/>
              <w:left w:val="single" w:sz="8" w:space="0" w:color="auto"/>
              <w:bottom w:val="single" w:sz="8" w:space="0" w:color="auto"/>
              <w:right w:val="single" w:sz="8" w:space="0" w:color="auto"/>
            </w:tcBorders>
            <w:vAlign w:val="center"/>
            <w:hideMark/>
          </w:tcPr>
          <w:p w:rsidR="00C002F5" w:rsidRPr="00C002F5" w:rsidRDefault="00C002F5" w:rsidP="00C002F5">
            <w:pPr>
              <w:widowControl/>
              <w:jc w:val="left"/>
              <w:rPr>
                <w:rFonts w:asciiTheme="minorEastAsia" w:hAnsiTheme="minorEastAsia" w:cs="宋体"/>
                <w:color w:val="000000"/>
                <w:kern w:val="0"/>
                <w:sz w:val="24"/>
                <w:szCs w:val="24"/>
              </w:rPr>
            </w:pPr>
          </w:p>
        </w:tc>
        <w:tc>
          <w:tcPr>
            <w:tcW w:w="2826"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C002F5" w:rsidRPr="00C002F5" w:rsidRDefault="00C002F5" w:rsidP="00C002F5">
            <w:pPr>
              <w:widowControl/>
              <w:spacing w:line="540" w:lineRule="atLeast"/>
              <w:jc w:val="center"/>
              <w:rPr>
                <w:rFonts w:asciiTheme="minorEastAsia" w:hAnsiTheme="minorEastAsia" w:cs="宋体"/>
                <w:color w:val="000000"/>
                <w:kern w:val="0"/>
                <w:sz w:val="24"/>
                <w:szCs w:val="24"/>
              </w:rPr>
            </w:pPr>
            <w:r w:rsidRPr="00C002F5">
              <w:rPr>
                <w:rFonts w:asciiTheme="minorEastAsia" w:hAnsiTheme="minorEastAsia" w:cs="宋体" w:hint="eastAsia"/>
                <w:color w:val="000000"/>
                <w:kern w:val="0"/>
                <w:szCs w:val="21"/>
              </w:rPr>
              <w:t>高炉出铁场、高炉矿槽</w:t>
            </w:r>
          </w:p>
        </w:tc>
        <w:tc>
          <w:tcPr>
            <w:tcW w:w="1283"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C002F5" w:rsidRPr="00C002F5" w:rsidRDefault="00C002F5" w:rsidP="00C002F5">
            <w:pPr>
              <w:widowControl/>
              <w:spacing w:line="540" w:lineRule="atLeast"/>
              <w:jc w:val="center"/>
              <w:rPr>
                <w:rFonts w:asciiTheme="minorEastAsia" w:hAnsiTheme="minorEastAsia" w:cs="宋体"/>
                <w:color w:val="000000"/>
                <w:kern w:val="0"/>
                <w:sz w:val="24"/>
                <w:szCs w:val="24"/>
              </w:rPr>
            </w:pPr>
            <w:r w:rsidRPr="00C002F5">
              <w:rPr>
                <w:rFonts w:asciiTheme="minorEastAsia" w:hAnsiTheme="minorEastAsia" w:cs="宋体" w:hint="eastAsia"/>
                <w:color w:val="000000"/>
                <w:kern w:val="0"/>
                <w:szCs w:val="21"/>
              </w:rPr>
              <w:t>—</w:t>
            </w:r>
          </w:p>
        </w:tc>
        <w:tc>
          <w:tcPr>
            <w:tcW w:w="895"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C002F5" w:rsidRPr="00C002F5" w:rsidRDefault="00C002F5" w:rsidP="00C002F5">
            <w:pPr>
              <w:widowControl/>
              <w:spacing w:line="540" w:lineRule="atLeast"/>
              <w:jc w:val="center"/>
              <w:rPr>
                <w:rFonts w:asciiTheme="minorEastAsia" w:hAnsiTheme="minorEastAsia" w:cs="宋体"/>
                <w:color w:val="000000"/>
                <w:kern w:val="0"/>
                <w:sz w:val="24"/>
                <w:szCs w:val="24"/>
              </w:rPr>
            </w:pPr>
            <w:r w:rsidRPr="00C002F5">
              <w:rPr>
                <w:rFonts w:asciiTheme="minorEastAsia" w:hAnsiTheme="minorEastAsia" w:cs="宋体" w:hint="eastAsia"/>
                <w:color w:val="000000"/>
                <w:kern w:val="0"/>
                <w:szCs w:val="21"/>
              </w:rPr>
              <w:t>10</w:t>
            </w:r>
          </w:p>
        </w:tc>
        <w:tc>
          <w:tcPr>
            <w:tcW w:w="1000"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C002F5" w:rsidRPr="00C002F5" w:rsidRDefault="00C002F5" w:rsidP="00C002F5">
            <w:pPr>
              <w:widowControl/>
              <w:spacing w:line="540" w:lineRule="atLeast"/>
              <w:jc w:val="center"/>
              <w:rPr>
                <w:rFonts w:asciiTheme="minorEastAsia" w:hAnsiTheme="minorEastAsia" w:cs="宋体"/>
                <w:color w:val="000000"/>
                <w:kern w:val="0"/>
                <w:sz w:val="24"/>
                <w:szCs w:val="24"/>
              </w:rPr>
            </w:pPr>
            <w:r w:rsidRPr="00C002F5">
              <w:rPr>
                <w:rFonts w:asciiTheme="minorEastAsia" w:hAnsiTheme="minorEastAsia" w:cs="宋体" w:hint="eastAsia"/>
                <w:color w:val="000000"/>
                <w:kern w:val="0"/>
                <w:szCs w:val="21"/>
              </w:rPr>
              <w:t>—</w:t>
            </w:r>
          </w:p>
        </w:tc>
        <w:tc>
          <w:tcPr>
            <w:tcW w:w="1128"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C002F5" w:rsidRPr="00C002F5" w:rsidRDefault="00C002F5" w:rsidP="00C002F5">
            <w:pPr>
              <w:widowControl/>
              <w:spacing w:line="540" w:lineRule="atLeast"/>
              <w:jc w:val="center"/>
              <w:rPr>
                <w:rFonts w:asciiTheme="minorEastAsia" w:hAnsiTheme="minorEastAsia" w:cs="宋体"/>
                <w:color w:val="000000"/>
                <w:kern w:val="0"/>
                <w:sz w:val="24"/>
                <w:szCs w:val="24"/>
              </w:rPr>
            </w:pPr>
            <w:r w:rsidRPr="00C002F5">
              <w:rPr>
                <w:rFonts w:asciiTheme="minorEastAsia" w:hAnsiTheme="minorEastAsia" w:cs="宋体" w:hint="eastAsia"/>
                <w:color w:val="000000"/>
                <w:kern w:val="0"/>
                <w:szCs w:val="21"/>
              </w:rPr>
              <w:t>—</w:t>
            </w:r>
          </w:p>
        </w:tc>
      </w:tr>
      <w:tr w:rsidR="00C002F5" w:rsidRPr="00C002F5" w:rsidTr="00C002F5">
        <w:trPr>
          <w:trHeight w:val="643"/>
          <w:jc w:val="center"/>
        </w:trPr>
        <w:tc>
          <w:tcPr>
            <w:tcW w:w="131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C002F5" w:rsidRPr="00C002F5" w:rsidRDefault="00C002F5" w:rsidP="00C002F5">
            <w:pPr>
              <w:widowControl/>
              <w:spacing w:line="540" w:lineRule="atLeast"/>
              <w:jc w:val="center"/>
              <w:rPr>
                <w:rFonts w:asciiTheme="minorEastAsia" w:hAnsiTheme="minorEastAsia" w:cs="宋体"/>
                <w:color w:val="000000"/>
                <w:kern w:val="0"/>
                <w:sz w:val="24"/>
                <w:szCs w:val="24"/>
              </w:rPr>
            </w:pPr>
            <w:r w:rsidRPr="00C002F5">
              <w:rPr>
                <w:rFonts w:asciiTheme="minorEastAsia" w:hAnsiTheme="minorEastAsia" w:cs="宋体" w:hint="eastAsia"/>
                <w:color w:val="000000"/>
                <w:kern w:val="0"/>
                <w:szCs w:val="21"/>
              </w:rPr>
              <w:t>炼钢</w:t>
            </w:r>
          </w:p>
        </w:tc>
        <w:tc>
          <w:tcPr>
            <w:tcW w:w="2826"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C002F5" w:rsidRPr="00C002F5" w:rsidRDefault="00C002F5" w:rsidP="00C002F5">
            <w:pPr>
              <w:widowControl/>
              <w:spacing w:line="540" w:lineRule="atLeast"/>
              <w:jc w:val="center"/>
              <w:rPr>
                <w:rFonts w:asciiTheme="minorEastAsia" w:hAnsiTheme="minorEastAsia" w:cs="宋体"/>
                <w:color w:val="000000"/>
                <w:kern w:val="0"/>
                <w:sz w:val="24"/>
                <w:szCs w:val="24"/>
              </w:rPr>
            </w:pPr>
            <w:r w:rsidRPr="00C002F5">
              <w:rPr>
                <w:rFonts w:asciiTheme="minorEastAsia" w:hAnsiTheme="minorEastAsia" w:cs="宋体" w:hint="eastAsia"/>
                <w:color w:val="000000"/>
                <w:kern w:val="0"/>
                <w:szCs w:val="21"/>
              </w:rPr>
              <w:t>铁水预处理、转炉（二次烟气）、电炉、石灰窑、白云石窑</w:t>
            </w:r>
          </w:p>
        </w:tc>
        <w:tc>
          <w:tcPr>
            <w:tcW w:w="1283"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C002F5" w:rsidRPr="00C002F5" w:rsidRDefault="00C002F5" w:rsidP="00C002F5">
            <w:pPr>
              <w:widowControl/>
              <w:spacing w:line="540" w:lineRule="atLeast"/>
              <w:jc w:val="center"/>
              <w:rPr>
                <w:rFonts w:asciiTheme="minorEastAsia" w:hAnsiTheme="minorEastAsia" w:cs="宋体"/>
                <w:color w:val="000000"/>
                <w:kern w:val="0"/>
                <w:sz w:val="24"/>
                <w:szCs w:val="24"/>
              </w:rPr>
            </w:pPr>
            <w:r w:rsidRPr="00C002F5">
              <w:rPr>
                <w:rFonts w:asciiTheme="minorEastAsia" w:hAnsiTheme="minorEastAsia" w:cs="宋体" w:hint="eastAsia"/>
                <w:color w:val="000000"/>
                <w:kern w:val="0"/>
                <w:szCs w:val="21"/>
              </w:rPr>
              <w:t>—</w:t>
            </w:r>
          </w:p>
        </w:tc>
        <w:tc>
          <w:tcPr>
            <w:tcW w:w="895"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C002F5" w:rsidRPr="00C002F5" w:rsidRDefault="00C002F5" w:rsidP="00C002F5">
            <w:pPr>
              <w:widowControl/>
              <w:spacing w:line="540" w:lineRule="atLeast"/>
              <w:jc w:val="center"/>
              <w:rPr>
                <w:rFonts w:asciiTheme="minorEastAsia" w:hAnsiTheme="minorEastAsia" w:cs="宋体"/>
                <w:color w:val="000000"/>
                <w:kern w:val="0"/>
                <w:sz w:val="24"/>
                <w:szCs w:val="24"/>
              </w:rPr>
            </w:pPr>
            <w:r w:rsidRPr="00C002F5">
              <w:rPr>
                <w:rFonts w:asciiTheme="minorEastAsia" w:hAnsiTheme="minorEastAsia" w:cs="宋体" w:hint="eastAsia"/>
                <w:color w:val="000000"/>
                <w:kern w:val="0"/>
                <w:szCs w:val="21"/>
              </w:rPr>
              <w:t>10</w:t>
            </w:r>
          </w:p>
        </w:tc>
        <w:tc>
          <w:tcPr>
            <w:tcW w:w="1000"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C002F5" w:rsidRPr="00C002F5" w:rsidRDefault="00C002F5" w:rsidP="00C002F5">
            <w:pPr>
              <w:widowControl/>
              <w:spacing w:line="540" w:lineRule="atLeast"/>
              <w:jc w:val="center"/>
              <w:rPr>
                <w:rFonts w:asciiTheme="minorEastAsia" w:hAnsiTheme="minorEastAsia" w:cs="宋体"/>
                <w:color w:val="000000"/>
                <w:kern w:val="0"/>
                <w:sz w:val="24"/>
                <w:szCs w:val="24"/>
              </w:rPr>
            </w:pPr>
            <w:r w:rsidRPr="00C002F5">
              <w:rPr>
                <w:rFonts w:asciiTheme="minorEastAsia" w:hAnsiTheme="minorEastAsia" w:cs="宋体" w:hint="eastAsia"/>
                <w:color w:val="000000"/>
                <w:kern w:val="0"/>
                <w:szCs w:val="21"/>
              </w:rPr>
              <w:t>—</w:t>
            </w:r>
          </w:p>
        </w:tc>
        <w:tc>
          <w:tcPr>
            <w:tcW w:w="1128"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C002F5" w:rsidRPr="00C002F5" w:rsidRDefault="00C002F5" w:rsidP="00C002F5">
            <w:pPr>
              <w:widowControl/>
              <w:spacing w:line="540" w:lineRule="atLeast"/>
              <w:jc w:val="center"/>
              <w:rPr>
                <w:rFonts w:asciiTheme="minorEastAsia" w:hAnsiTheme="minorEastAsia" w:cs="宋体"/>
                <w:color w:val="000000"/>
                <w:kern w:val="0"/>
                <w:sz w:val="24"/>
                <w:szCs w:val="24"/>
              </w:rPr>
            </w:pPr>
            <w:r w:rsidRPr="00C002F5">
              <w:rPr>
                <w:rFonts w:asciiTheme="minorEastAsia" w:hAnsiTheme="minorEastAsia" w:cs="宋体" w:hint="eastAsia"/>
                <w:color w:val="000000"/>
                <w:kern w:val="0"/>
                <w:szCs w:val="21"/>
              </w:rPr>
              <w:t>—</w:t>
            </w:r>
          </w:p>
        </w:tc>
      </w:tr>
      <w:tr w:rsidR="00C002F5" w:rsidRPr="00C002F5" w:rsidTr="00C002F5">
        <w:trPr>
          <w:trHeight w:val="397"/>
          <w:jc w:val="center"/>
        </w:trPr>
        <w:tc>
          <w:tcPr>
            <w:tcW w:w="131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C002F5" w:rsidRPr="00C002F5" w:rsidRDefault="00C002F5" w:rsidP="00C002F5">
            <w:pPr>
              <w:widowControl/>
              <w:spacing w:line="540" w:lineRule="atLeast"/>
              <w:jc w:val="center"/>
              <w:rPr>
                <w:rFonts w:asciiTheme="minorEastAsia" w:hAnsiTheme="minorEastAsia" w:cs="宋体"/>
                <w:color w:val="000000"/>
                <w:kern w:val="0"/>
                <w:sz w:val="24"/>
                <w:szCs w:val="24"/>
              </w:rPr>
            </w:pPr>
            <w:r w:rsidRPr="00C002F5">
              <w:rPr>
                <w:rFonts w:asciiTheme="minorEastAsia" w:hAnsiTheme="minorEastAsia" w:cs="宋体" w:hint="eastAsia"/>
                <w:color w:val="000000"/>
                <w:kern w:val="0"/>
                <w:szCs w:val="21"/>
              </w:rPr>
              <w:lastRenderedPageBreak/>
              <w:t>轧钢</w:t>
            </w:r>
          </w:p>
        </w:tc>
        <w:tc>
          <w:tcPr>
            <w:tcW w:w="2826"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C002F5" w:rsidRPr="00C002F5" w:rsidRDefault="00C002F5" w:rsidP="00C002F5">
            <w:pPr>
              <w:widowControl/>
              <w:spacing w:line="540" w:lineRule="atLeast"/>
              <w:jc w:val="center"/>
              <w:rPr>
                <w:rFonts w:asciiTheme="minorEastAsia" w:hAnsiTheme="minorEastAsia" w:cs="宋体"/>
                <w:color w:val="000000"/>
                <w:kern w:val="0"/>
                <w:sz w:val="24"/>
                <w:szCs w:val="24"/>
              </w:rPr>
            </w:pPr>
            <w:r w:rsidRPr="00C002F5">
              <w:rPr>
                <w:rFonts w:asciiTheme="minorEastAsia" w:hAnsiTheme="minorEastAsia" w:cs="宋体" w:hint="eastAsia"/>
                <w:color w:val="000000"/>
                <w:kern w:val="0"/>
                <w:szCs w:val="21"/>
              </w:rPr>
              <w:t>热处理炉</w:t>
            </w:r>
          </w:p>
        </w:tc>
        <w:tc>
          <w:tcPr>
            <w:tcW w:w="1283"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C002F5" w:rsidRPr="00C002F5" w:rsidRDefault="00C002F5" w:rsidP="00C002F5">
            <w:pPr>
              <w:widowControl/>
              <w:spacing w:line="540" w:lineRule="atLeast"/>
              <w:jc w:val="center"/>
              <w:rPr>
                <w:rFonts w:asciiTheme="minorEastAsia" w:hAnsiTheme="minorEastAsia" w:cs="宋体"/>
                <w:color w:val="000000"/>
                <w:kern w:val="0"/>
                <w:sz w:val="24"/>
                <w:szCs w:val="24"/>
              </w:rPr>
            </w:pPr>
            <w:r w:rsidRPr="00C002F5">
              <w:rPr>
                <w:rFonts w:asciiTheme="minorEastAsia" w:hAnsiTheme="minorEastAsia" w:cs="宋体" w:hint="eastAsia"/>
                <w:color w:val="000000"/>
                <w:kern w:val="0"/>
                <w:szCs w:val="21"/>
              </w:rPr>
              <w:t>8</w:t>
            </w:r>
          </w:p>
        </w:tc>
        <w:tc>
          <w:tcPr>
            <w:tcW w:w="895"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C002F5" w:rsidRPr="00C002F5" w:rsidRDefault="00C002F5" w:rsidP="00C002F5">
            <w:pPr>
              <w:widowControl/>
              <w:spacing w:line="540" w:lineRule="atLeast"/>
              <w:jc w:val="center"/>
              <w:rPr>
                <w:rFonts w:asciiTheme="minorEastAsia" w:hAnsiTheme="minorEastAsia" w:cs="宋体"/>
                <w:color w:val="000000"/>
                <w:kern w:val="0"/>
                <w:sz w:val="24"/>
                <w:szCs w:val="24"/>
              </w:rPr>
            </w:pPr>
            <w:r w:rsidRPr="00C002F5">
              <w:rPr>
                <w:rFonts w:asciiTheme="minorEastAsia" w:hAnsiTheme="minorEastAsia" w:cs="宋体" w:hint="eastAsia"/>
                <w:color w:val="000000"/>
                <w:kern w:val="0"/>
                <w:szCs w:val="21"/>
              </w:rPr>
              <w:t>10</w:t>
            </w:r>
          </w:p>
        </w:tc>
        <w:tc>
          <w:tcPr>
            <w:tcW w:w="1000"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C002F5" w:rsidRPr="00C002F5" w:rsidRDefault="00C002F5" w:rsidP="00C002F5">
            <w:pPr>
              <w:widowControl/>
              <w:spacing w:line="540" w:lineRule="atLeast"/>
              <w:jc w:val="center"/>
              <w:rPr>
                <w:rFonts w:asciiTheme="minorEastAsia" w:hAnsiTheme="minorEastAsia" w:cs="宋体"/>
                <w:color w:val="000000"/>
                <w:kern w:val="0"/>
                <w:sz w:val="24"/>
                <w:szCs w:val="24"/>
              </w:rPr>
            </w:pPr>
            <w:r w:rsidRPr="00C002F5">
              <w:rPr>
                <w:rFonts w:asciiTheme="minorEastAsia" w:hAnsiTheme="minorEastAsia" w:cs="宋体" w:hint="eastAsia"/>
                <w:color w:val="000000"/>
                <w:kern w:val="0"/>
                <w:szCs w:val="21"/>
              </w:rPr>
              <w:t>50</w:t>
            </w:r>
          </w:p>
        </w:tc>
        <w:tc>
          <w:tcPr>
            <w:tcW w:w="1128"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C002F5" w:rsidRPr="00C002F5" w:rsidRDefault="00C002F5" w:rsidP="00C002F5">
            <w:pPr>
              <w:widowControl/>
              <w:spacing w:line="540" w:lineRule="atLeast"/>
              <w:jc w:val="center"/>
              <w:rPr>
                <w:rFonts w:asciiTheme="minorEastAsia" w:hAnsiTheme="minorEastAsia" w:cs="宋体"/>
                <w:color w:val="000000"/>
                <w:kern w:val="0"/>
                <w:sz w:val="24"/>
                <w:szCs w:val="24"/>
              </w:rPr>
            </w:pPr>
            <w:r w:rsidRPr="00C002F5">
              <w:rPr>
                <w:rFonts w:asciiTheme="minorEastAsia" w:hAnsiTheme="minorEastAsia" w:cs="宋体" w:hint="eastAsia"/>
                <w:color w:val="000000"/>
                <w:kern w:val="0"/>
                <w:szCs w:val="21"/>
              </w:rPr>
              <w:t>200</w:t>
            </w:r>
          </w:p>
        </w:tc>
      </w:tr>
      <w:tr w:rsidR="00C002F5" w:rsidRPr="00C002F5" w:rsidTr="00C002F5">
        <w:trPr>
          <w:trHeight w:val="397"/>
          <w:jc w:val="center"/>
        </w:trPr>
        <w:tc>
          <w:tcPr>
            <w:tcW w:w="1310"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C002F5" w:rsidRPr="00C002F5" w:rsidRDefault="00C002F5" w:rsidP="00C002F5">
            <w:pPr>
              <w:widowControl/>
              <w:spacing w:line="540" w:lineRule="atLeast"/>
              <w:jc w:val="center"/>
              <w:rPr>
                <w:rFonts w:asciiTheme="minorEastAsia" w:hAnsiTheme="minorEastAsia" w:cs="宋体"/>
                <w:color w:val="000000"/>
                <w:kern w:val="0"/>
                <w:sz w:val="24"/>
                <w:szCs w:val="24"/>
              </w:rPr>
            </w:pPr>
            <w:r w:rsidRPr="00C002F5">
              <w:rPr>
                <w:rFonts w:asciiTheme="minorEastAsia" w:hAnsiTheme="minorEastAsia" w:cs="宋体" w:hint="eastAsia"/>
                <w:color w:val="000000"/>
                <w:kern w:val="0"/>
                <w:szCs w:val="21"/>
              </w:rPr>
              <w:t>自备电厂</w:t>
            </w:r>
          </w:p>
        </w:tc>
        <w:tc>
          <w:tcPr>
            <w:tcW w:w="2826"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C002F5" w:rsidRPr="00C002F5" w:rsidRDefault="00C002F5" w:rsidP="00C002F5">
            <w:pPr>
              <w:widowControl/>
              <w:spacing w:line="540" w:lineRule="atLeast"/>
              <w:jc w:val="center"/>
              <w:rPr>
                <w:rFonts w:asciiTheme="minorEastAsia" w:hAnsiTheme="minorEastAsia" w:cs="宋体"/>
                <w:color w:val="000000"/>
                <w:kern w:val="0"/>
                <w:sz w:val="24"/>
                <w:szCs w:val="24"/>
              </w:rPr>
            </w:pPr>
            <w:r w:rsidRPr="00C002F5">
              <w:rPr>
                <w:rFonts w:asciiTheme="minorEastAsia" w:hAnsiTheme="minorEastAsia" w:cs="宋体" w:hint="eastAsia"/>
                <w:color w:val="000000"/>
                <w:kern w:val="0"/>
                <w:szCs w:val="21"/>
              </w:rPr>
              <w:t>燃气锅炉</w:t>
            </w:r>
          </w:p>
        </w:tc>
        <w:tc>
          <w:tcPr>
            <w:tcW w:w="1283"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C002F5" w:rsidRPr="00C002F5" w:rsidRDefault="00C002F5" w:rsidP="00C002F5">
            <w:pPr>
              <w:widowControl/>
              <w:spacing w:line="540" w:lineRule="atLeast"/>
              <w:jc w:val="center"/>
              <w:rPr>
                <w:rFonts w:asciiTheme="minorEastAsia" w:hAnsiTheme="minorEastAsia" w:cs="宋体"/>
                <w:color w:val="000000"/>
                <w:kern w:val="0"/>
                <w:sz w:val="24"/>
                <w:szCs w:val="24"/>
              </w:rPr>
            </w:pPr>
            <w:r w:rsidRPr="00C002F5">
              <w:rPr>
                <w:rFonts w:asciiTheme="minorEastAsia" w:hAnsiTheme="minorEastAsia" w:cs="宋体" w:hint="eastAsia"/>
                <w:color w:val="000000"/>
                <w:kern w:val="0"/>
                <w:szCs w:val="21"/>
              </w:rPr>
              <w:t>3</w:t>
            </w:r>
          </w:p>
        </w:tc>
        <w:tc>
          <w:tcPr>
            <w:tcW w:w="895"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C002F5" w:rsidRPr="00C002F5" w:rsidRDefault="00C002F5" w:rsidP="00C002F5">
            <w:pPr>
              <w:widowControl/>
              <w:spacing w:line="540" w:lineRule="atLeast"/>
              <w:jc w:val="center"/>
              <w:rPr>
                <w:rFonts w:asciiTheme="minorEastAsia" w:hAnsiTheme="minorEastAsia" w:cs="宋体"/>
                <w:color w:val="000000"/>
                <w:kern w:val="0"/>
                <w:sz w:val="24"/>
                <w:szCs w:val="24"/>
              </w:rPr>
            </w:pPr>
            <w:r w:rsidRPr="00C002F5">
              <w:rPr>
                <w:rFonts w:asciiTheme="minorEastAsia" w:hAnsiTheme="minorEastAsia" w:cs="宋体" w:hint="eastAsia"/>
                <w:color w:val="000000"/>
                <w:kern w:val="0"/>
                <w:szCs w:val="21"/>
              </w:rPr>
              <w:t>5</w:t>
            </w:r>
          </w:p>
        </w:tc>
        <w:tc>
          <w:tcPr>
            <w:tcW w:w="1000"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C002F5" w:rsidRPr="00C002F5" w:rsidRDefault="00C002F5" w:rsidP="00C002F5">
            <w:pPr>
              <w:widowControl/>
              <w:spacing w:line="540" w:lineRule="atLeast"/>
              <w:jc w:val="center"/>
              <w:rPr>
                <w:rFonts w:asciiTheme="minorEastAsia" w:hAnsiTheme="minorEastAsia" w:cs="宋体"/>
                <w:color w:val="000000"/>
                <w:kern w:val="0"/>
                <w:sz w:val="24"/>
                <w:szCs w:val="24"/>
              </w:rPr>
            </w:pPr>
            <w:r w:rsidRPr="00C002F5">
              <w:rPr>
                <w:rFonts w:asciiTheme="minorEastAsia" w:hAnsiTheme="minorEastAsia" w:cs="宋体" w:hint="eastAsia"/>
                <w:color w:val="000000"/>
                <w:kern w:val="0"/>
                <w:szCs w:val="21"/>
              </w:rPr>
              <w:t>35</w:t>
            </w:r>
          </w:p>
        </w:tc>
        <w:tc>
          <w:tcPr>
            <w:tcW w:w="1128"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C002F5" w:rsidRPr="00C002F5" w:rsidRDefault="00C002F5" w:rsidP="00C002F5">
            <w:pPr>
              <w:widowControl/>
              <w:spacing w:line="540" w:lineRule="atLeast"/>
              <w:jc w:val="center"/>
              <w:rPr>
                <w:rFonts w:asciiTheme="minorEastAsia" w:hAnsiTheme="minorEastAsia" w:cs="宋体"/>
                <w:color w:val="000000"/>
                <w:kern w:val="0"/>
                <w:sz w:val="24"/>
                <w:szCs w:val="24"/>
              </w:rPr>
            </w:pPr>
            <w:r w:rsidRPr="00C002F5">
              <w:rPr>
                <w:rFonts w:asciiTheme="minorEastAsia" w:hAnsiTheme="minorEastAsia" w:cs="宋体" w:hint="eastAsia"/>
                <w:color w:val="000000"/>
                <w:kern w:val="0"/>
                <w:szCs w:val="21"/>
              </w:rPr>
              <w:t>50</w:t>
            </w:r>
          </w:p>
        </w:tc>
      </w:tr>
      <w:tr w:rsidR="00C002F5" w:rsidRPr="00C002F5" w:rsidTr="00C002F5">
        <w:trPr>
          <w:trHeight w:val="397"/>
          <w:jc w:val="center"/>
        </w:trPr>
        <w:tc>
          <w:tcPr>
            <w:tcW w:w="0" w:type="auto"/>
            <w:vMerge/>
            <w:tcBorders>
              <w:top w:val="nil"/>
              <w:left w:val="single" w:sz="8" w:space="0" w:color="auto"/>
              <w:bottom w:val="single" w:sz="8" w:space="0" w:color="auto"/>
              <w:right w:val="single" w:sz="8" w:space="0" w:color="auto"/>
            </w:tcBorders>
            <w:vAlign w:val="center"/>
            <w:hideMark/>
          </w:tcPr>
          <w:p w:rsidR="00C002F5" w:rsidRPr="00C002F5" w:rsidRDefault="00C002F5" w:rsidP="00C002F5">
            <w:pPr>
              <w:widowControl/>
              <w:jc w:val="left"/>
              <w:rPr>
                <w:rFonts w:asciiTheme="minorEastAsia" w:hAnsiTheme="minorEastAsia" w:cs="宋体"/>
                <w:color w:val="000000"/>
                <w:kern w:val="0"/>
                <w:sz w:val="24"/>
                <w:szCs w:val="24"/>
              </w:rPr>
            </w:pPr>
          </w:p>
        </w:tc>
        <w:tc>
          <w:tcPr>
            <w:tcW w:w="2826"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C002F5" w:rsidRPr="00C002F5" w:rsidRDefault="00C002F5" w:rsidP="00C002F5">
            <w:pPr>
              <w:widowControl/>
              <w:spacing w:line="540" w:lineRule="atLeast"/>
              <w:jc w:val="center"/>
              <w:rPr>
                <w:rFonts w:asciiTheme="minorEastAsia" w:hAnsiTheme="minorEastAsia" w:cs="宋体"/>
                <w:color w:val="000000"/>
                <w:kern w:val="0"/>
                <w:sz w:val="24"/>
                <w:szCs w:val="24"/>
              </w:rPr>
            </w:pPr>
            <w:r w:rsidRPr="00C002F5">
              <w:rPr>
                <w:rFonts w:asciiTheme="minorEastAsia" w:hAnsiTheme="minorEastAsia" w:cs="宋体" w:hint="eastAsia"/>
                <w:color w:val="000000"/>
                <w:kern w:val="0"/>
                <w:szCs w:val="21"/>
              </w:rPr>
              <w:t>燃煤锅炉</w:t>
            </w:r>
          </w:p>
        </w:tc>
        <w:tc>
          <w:tcPr>
            <w:tcW w:w="1283"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C002F5" w:rsidRPr="00C002F5" w:rsidRDefault="00C002F5" w:rsidP="00C002F5">
            <w:pPr>
              <w:widowControl/>
              <w:spacing w:line="540" w:lineRule="atLeast"/>
              <w:jc w:val="center"/>
              <w:rPr>
                <w:rFonts w:asciiTheme="minorEastAsia" w:hAnsiTheme="minorEastAsia" w:cs="宋体"/>
                <w:color w:val="000000"/>
                <w:kern w:val="0"/>
                <w:sz w:val="24"/>
                <w:szCs w:val="24"/>
              </w:rPr>
            </w:pPr>
            <w:r w:rsidRPr="00C002F5">
              <w:rPr>
                <w:rFonts w:asciiTheme="minorEastAsia" w:hAnsiTheme="minorEastAsia" w:cs="宋体" w:hint="eastAsia"/>
                <w:color w:val="000000"/>
                <w:kern w:val="0"/>
                <w:szCs w:val="21"/>
              </w:rPr>
              <w:t>6</w:t>
            </w:r>
          </w:p>
        </w:tc>
        <w:tc>
          <w:tcPr>
            <w:tcW w:w="895"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C002F5" w:rsidRPr="00C002F5" w:rsidRDefault="00C002F5" w:rsidP="00C002F5">
            <w:pPr>
              <w:widowControl/>
              <w:spacing w:line="540" w:lineRule="atLeast"/>
              <w:jc w:val="center"/>
              <w:rPr>
                <w:rFonts w:asciiTheme="minorEastAsia" w:hAnsiTheme="minorEastAsia" w:cs="宋体"/>
                <w:color w:val="000000"/>
                <w:kern w:val="0"/>
                <w:sz w:val="24"/>
                <w:szCs w:val="24"/>
              </w:rPr>
            </w:pPr>
            <w:r w:rsidRPr="00C002F5">
              <w:rPr>
                <w:rFonts w:asciiTheme="minorEastAsia" w:hAnsiTheme="minorEastAsia" w:cs="宋体" w:hint="eastAsia"/>
                <w:color w:val="000000"/>
                <w:kern w:val="0"/>
                <w:szCs w:val="21"/>
              </w:rPr>
              <w:t>10</w:t>
            </w:r>
          </w:p>
        </w:tc>
        <w:tc>
          <w:tcPr>
            <w:tcW w:w="1000"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C002F5" w:rsidRPr="00C002F5" w:rsidRDefault="00C002F5" w:rsidP="00C002F5">
            <w:pPr>
              <w:widowControl/>
              <w:spacing w:line="540" w:lineRule="atLeast"/>
              <w:jc w:val="center"/>
              <w:rPr>
                <w:rFonts w:asciiTheme="minorEastAsia" w:hAnsiTheme="minorEastAsia" w:cs="宋体"/>
                <w:color w:val="000000"/>
                <w:kern w:val="0"/>
                <w:sz w:val="24"/>
                <w:szCs w:val="24"/>
              </w:rPr>
            </w:pPr>
            <w:r w:rsidRPr="00C002F5">
              <w:rPr>
                <w:rFonts w:asciiTheme="minorEastAsia" w:hAnsiTheme="minorEastAsia" w:cs="宋体" w:hint="eastAsia"/>
                <w:color w:val="000000"/>
                <w:kern w:val="0"/>
                <w:szCs w:val="21"/>
              </w:rPr>
              <w:t>35</w:t>
            </w:r>
          </w:p>
        </w:tc>
        <w:tc>
          <w:tcPr>
            <w:tcW w:w="1128"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C002F5" w:rsidRPr="00C002F5" w:rsidRDefault="00C002F5" w:rsidP="00C002F5">
            <w:pPr>
              <w:widowControl/>
              <w:spacing w:line="540" w:lineRule="atLeast"/>
              <w:jc w:val="center"/>
              <w:rPr>
                <w:rFonts w:asciiTheme="minorEastAsia" w:hAnsiTheme="minorEastAsia" w:cs="宋体"/>
                <w:color w:val="000000"/>
                <w:kern w:val="0"/>
                <w:sz w:val="24"/>
                <w:szCs w:val="24"/>
              </w:rPr>
            </w:pPr>
            <w:r w:rsidRPr="00C002F5">
              <w:rPr>
                <w:rFonts w:asciiTheme="minorEastAsia" w:hAnsiTheme="minorEastAsia" w:cs="宋体" w:hint="eastAsia"/>
                <w:color w:val="000000"/>
                <w:kern w:val="0"/>
                <w:szCs w:val="21"/>
              </w:rPr>
              <w:t>50</w:t>
            </w:r>
          </w:p>
        </w:tc>
      </w:tr>
      <w:tr w:rsidR="00C002F5" w:rsidRPr="00C002F5" w:rsidTr="00C002F5">
        <w:trPr>
          <w:trHeight w:val="397"/>
          <w:jc w:val="center"/>
        </w:trPr>
        <w:tc>
          <w:tcPr>
            <w:tcW w:w="0" w:type="auto"/>
            <w:vMerge/>
            <w:tcBorders>
              <w:top w:val="nil"/>
              <w:left w:val="single" w:sz="8" w:space="0" w:color="auto"/>
              <w:bottom w:val="single" w:sz="8" w:space="0" w:color="auto"/>
              <w:right w:val="single" w:sz="8" w:space="0" w:color="auto"/>
            </w:tcBorders>
            <w:vAlign w:val="center"/>
            <w:hideMark/>
          </w:tcPr>
          <w:p w:rsidR="00C002F5" w:rsidRPr="00C002F5" w:rsidRDefault="00C002F5" w:rsidP="00C002F5">
            <w:pPr>
              <w:widowControl/>
              <w:jc w:val="left"/>
              <w:rPr>
                <w:rFonts w:asciiTheme="minorEastAsia" w:hAnsiTheme="minorEastAsia" w:cs="宋体"/>
                <w:color w:val="000000"/>
                <w:kern w:val="0"/>
                <w:sz w:val="24"/>
                <w:szCs w:val="24"/>
              </w:rPr>
            </w:pPr>
          </w:p>
        </w:tc>
        <w:tc>
          <w:tcPr>
            <w:tcW w:w="2826"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C002F5" w:rsidRPr="00C002F5" w:rsidRDefault="00C002F5" w:rsidP="00C002F5">
            <w:pPr>
              <w:widowControl/>
              <w:spacing w:line="540" w:lineRule="atLeast"/>
              <w:jc w:val="center"/>
              <w:rPr>
                <w:rFonts w:asciiTheme="minorEastAsia" w:hAnsiTheme="minorEastAsia" w:cs="宋体"/>
                <w:color w:val="000000"/>
                <w:kern w:val="0"/>
                <w:sz w:val="24"/>
                <w:szCs w:val="24"/>
              </w:rPr>
            </w:pPr>
            <w:r w:rsidRPr="00C002F5">
              <w:rPr>
                <w:rFonts w:asciiTheme="minorEastAsia" w:hAnsiTheme="minorEastAsia" w:cs="宋体" w:hint="eastAsia"/>
                <w:color w:val="000000"/>
                <w:kern w:val="0"/>
                <w:szCs w:val="21"/>
              </w:rPr>
              <w:t>燃气轮机组</w:t>
            </w:r>
          </w:p>
        </w:tc>
        <w:tc>
          <w:tcPr>
            <w:tcW w:w="1283"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C002F5" w:rsidRPr="00C002F5" w:rsidRDefault="00C002F5" w:rsidP="00C002F5">
            <w:pPr>
              <w:widowControl/>
              <w:spacing w:line="540" w:lineRule="atLeast"/>
              <w:jc w:val="center"/>
              <w:rPr>
                <w:rFonts w:asciiTheme="minorEastAsia" w:hAnsiTheme="minorEastAsia" w:cs="宋体"/>
                <w:color w:val="000000"/>
                <w:kern w:val="0"/>
                <w:sz w:val="24"/>
                <w:szCs w:val="24"/>
              </w:rPr>
            </w:pPr>
            <w:r w:rsidRPr="00C002F5">
              <w:rPr>
                <w:rFonts w:asciiTheme="minorEastAsia" w:hAnsiTheme="minorEastAsia" w:cs="宋体" w:hint="eastAsia"/>
                <w:color w:val="000000"/>
                <w:kern w:val="0"/>
                <w:szCs w:val="21"/>
              </w:rPr>
              <w:t>15</w:t>
            </w:r>
          </w:p>
        </w:tc>
        <w:tc>
          <w:tcPr>
            <w:tcW w:w="895"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C002F5" w:rsidRPr="00C002F5" w:rsidRDefault="00C002F5" w:rsidP="00C002F5">
            <w:pPr>
              <w:widowControl/>
              <w:spacing w:line="540" w:lineRule="atLeast"/>
              <w:jc w:val="center"/>
              <w:rPr>
                <w:rFonts w:asciiTheme="minorEastAsia" w:hAnsiTheme="minorEastAsia" w:cs="宋体"/>
                <w:color w:val="000000"/>
                <w:kern w:val="0"/>
                <w:sz w:val="24"/>
                <w:szCs w:val="24"/>
              </w:rPr>
            </w:pPr>
            <w:r w:rsidRPr="00C002F5">
              <w:rPr>
                <w:rFonts w:asciiTheme="minorEastAsia" w:hAnsiTheme="minorEastAsia" w:cs="宋体" w:hint="eastAsia"/>
                <w:color w:val="000000"/>
                <w:kern w:val="0"/>
                <w:szCs w:val="21"/>
              </w:rPr>
              <w:t>5</w:t>
            </w:r>
          </w:p>
        </w:tc>
        <w:tc>
          <w:tcPr>
            <w:tcW w:w="1000"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C002F5" w:rsidRPr="00C002F5" w:rsidRDefault="00C002F5" w:rsidP="00C002F5">
            <w:pPr>
              <w:widowControl/>
              <w:spacing w:line="540" w:lineRule="atLeast"/>
              <w:jc w:val="center"/>
              <w:rPr>
                <w:rFonts w:asciiTheme="minorEastAsia" w:hAnsiTheme="minorEastAsia" w:cs="宋体"/>
                <w:color w:val="000000"/>
                <w:kern w:val="0"/>
                <w:sz w:val="24"/>
                <w:szCs w:val="24"/>
              </w:rPr>
            </w:pPr>
            <w:r w:rsidRPr="00C002F5">
              <w:rPr>
                <w:rFonts w:asciiTheme="minorEastAsia" w:hAnsiTheme="minorEastAsia" w:cs="宋体" w:hint="eastAsia"/>
                <w:color w:val="000000"/>
                <w:kern w:val="0"/>
                <w:szCs w:val="21"/>
              </w:rPr>
              <w:t>35</w:t>
            </w:r>
          </w:p>
        </w:tc>
        <w:tc>
          <w:tcPr>
            <w:tcW w:w="1128"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C002F5" w:rsidRPr="00C002F5" w:rsidRDefault="00C002F5" w:rsidP="00C002F5">
            <w:pPr>
              <w:widowControl/>
              <w:spacing w:line="540" w:lineRule="atLeast"/>
              <w:jc w:val="center"/>
              <w:rPr>
                <w:rFonts w:asciiTheme="minorEastAsia" w:hAnsiTheme="minorEastAsia" w:cs="宋体"/>
                <w:color w:val="000000"/>
                <w:kern w:val="0"/>
                <w:sz w:val="24"/>
                <w:szCs w:val="24"/>
              </w:rPr>
            </w:pPr>
            <w:r w:rsidRPr="00C002F5">
              <w:rPr>
                <w:rFonts w:asciiTheme="minorEastAsia" w:hAnsiTheme="minorEastAsia" w:cs="宋体" w:hint="eastAsia"/>
                <w:color w:val="000000"/>
                <w:kern w:val="0"/>
                <w:szCs w:val="21"/>
              </w:rPr>
              <w:t>50</w:t>
            </w:r>
          </w:p>
        </w:tc>
      </w:tr>
      <w:tr w:rsidR="00C002F5" w:rsidRPr="00C002F5" w:rsidTr="00C002F5">
        <w:trPr>
          <w:trHeight w:val="397"/>
          <w:jc w:val="center"/>
        </w:trPr>
        <w:tc>
          <w:tcPr>
            <w:tcW w:w="0" w:type="auto"/>
            <w:vMerge/>
            <w:tcBorders>
              <w:top w:val="nil"/>
              <w:left w:val="single" w:sz="8" w:space="0" w:color="auto"/>
              <w:bottom w:val="single" w:sz="8" w:space="0" w:color="auto"/>
              <w:right w:val="single" w:sz="8" w:space="0" w:color="auto"/>
            </w:tcBorders>
            <w:vAlign w:val="center"/>
            <w:hideMark/>
          </w:tcPr>
          <w:p w:rsidR="00C002F5" w:rsidRPr="00C002F5" w:rsidRDefault="00C002F5" w:rsidP="00C002F5">
            <w:pPr>
              <w:widowControl/>
              <w:jc w:val="left"/>
              <w:rPr>
                <w:rFonts w:asciiTheme="minorEastAsia" w:hAnsiTheme="minorEastAsia" w:cs="宋体"/>
                <w:color w:val="000000"/>
                <w:kern w:val="0"/>
                <w:sz w:val="24"/>
                <w:szCs w:val="24"/>
              </w:rPr>
            </w:pPr>
          </w:p>
        </w:tc>
        <w:tc>
          <w:tcPr>
            <w:tcW w:w="2826"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C002F5" w:rsidRPr="00C002F5" w:rsidRDefault="00C002F5" w:rsidP="00C002F5">
            <w:pPr>
              <w:widowControl/>
              <w:spacing w:line="540" w:lineRule="atLeast"/>
              <w:jc w:val="center"/>
              <w:rPr>
                <w:rFonts w:asciiTheme="minorEastAsia" w:hAnsiTheme="minorEastAsia" w:cs="宋体"/>
                <w:color w:val="000000"/>
                <w:kern w:val="0"/>
                <w:sz w:val="24"/>
                <w:szCs w:val="24"/>
              </w:rPr>
            </w:pPr>
            <w:r w:rsidRPr="00C002F5">
              <w:rPr>
                <w:rFonts w:asciiTheme="minorEastAsia" w:hAnsiTheme="minorEastAsia" w:cs="宋体" w:hint="eastAsia"/>
                <w:color w:val="000000"/>
                <w:kern w:val="0"/>
                <w:szCs w:val="21"/>
              </w:rPr>
              <w:t>燃油锅炉</w:t>
            </w:r>
          </w:p>
        </w:tc>
        <w:tc>
          <w:tcPr>
            <w:tcW w:w="1283"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C002F5" w:rsidRPr="00C002F5" w:rsidRDefault="00C002F5" w:rsidP="00C002F5">
            <w:pPr>
              <w:widowControl/>
              <w:spacing w:line="540" w:lineRule="atLeast"/>
              <w:jc w:val="center"/>
              <w:rPr>
                <w:rFonts w:asciiTheme="minorEastAsia" w:hAnsiTheme="minorEastAsia" w:cs="宋体"/>
                <w:color w:val="000000"/>
                <w:kern w:val="0"/>
                <w:sz w:val="24"/>
                <w:szCs w:val="24"/>
              </w:rPr>
            </w:pPr>
            <w:r w:rsidRPr="00C002F5">
              <w:rPr>
                <w:rFonts w:asciiTheme="minorEastAsia" w:hAnsiTheme="minorEastAsia" w:cs="宋体" w:hint="eastAsia"/>
                <w:color w:val="000000"/>
                <w:kern w:val="0"/>
                <w:szCs w:val="21"/>
              </w:rPr>
              <w:t>3</w:t>
            </w:r>
          </w:p>
        </w:tc>
        <w:tc>
          <w:tcPr>
            <w:tcW w:w="895"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C002F5" w:rsidRPr="00C002F5" w:rsidRDefault="00C002F5" w:rsidP="00C002F5">
            <w:pPr>
              <w:widowControl/>
              <w:spacing w:line="540" w:lineRule="atLeast"/>
              <w:jc w:val="center"/>
              <w:rPr>
                <w:rFonts w:asciiTheme="minorEastAsia" w:hAnsiTheme="minorEastAsia" w:cs="宋体"/>
                <w:color w:val="000000"/>
                <w:kern w:val="0"/>
                <w:sz w:val="24"/>
                <w:szCs w:val="24"/>
              </w:rPr>
            </w:pPr>
            <w:r w:rsidRPr="00C002F5">
              <w:rPr>
                <w:rFonts w:asciiTheme="minorEastAsia" w:hAnsiTheme="minorEastAsia" w:cs="宋体" w:hint="eastAsia"/>
                <w:color w:val="000000"/>
                <w:kern w:val="0"/>
                <w:szCs w:val="21"/>
              </w:rPr>
              <w:t>10</w:t>
            </w:r>
          </w:p>
        </w:tc>
        <w:tc>
          <w:tcPr>
            <w:tcW w:w="1000"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C002F5" w:rsidRPr="00C002F5" w:rsidRDefault="00C002F5" w:rsidP="00C002F5">
            <w:pPr>
              <w:widowControl/>
              <w:spacing w:line="540" w:lineRule="atLeast"/>
              <w:jc w:val="center"/>
              <w:rPr>
                <w:rFonts w:asciiTheme="minorEastAsia" w:hAnsiTheme="minorEastAsia" w:cs="宋体"/>
                <w:color w:val="000000"/>
                <w:kern w:val="0"/>
                <w:sz w:val="24"/>
                <w:szCs w:val="24"/>
              </w:rPr>
            </w:pPr>
            <w:r w:rsidRPr="00C002F5">
              <w:rPr>
                <w:rFonts w:asciiTheme="minorEastAsia" w:hAnsiTheme="minorEastAsia" w:cs="宋体" w:hint="eastAsia"/>
                <w:color w:val="000000"/>
                <w:kern w:val="0"/>
                <w:szCs w:val="21"/>
              </w:rPr>
              <w:t>35</w:t>
            </w:r>
          </w:p>
        </w:tc>
        <w:tc>
          <w:tcPr>
            <w:tcW w:w="1128"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C002F5" w:rsidRPr="00C002F5" w:rsidRDefault="00C002F5" w:rsidP="00C002F5">
            <w:pPr>
              <w:widowControl/>
              <w:spacing w:line="540" w:lineRule="atLeast"/>
              <w:jc w:val="center"/>
              <w:rPr>
                <w:rFonts w:asciiTheme="minorEastAsia" w:hAnsiTheme="minorEastAsia" w:cs="宋体"/>
                <w:color w:val="000000"/>
                <w:kern w:val="0"/>
                <w:sz w:val="24"/>
                <w:szCs w:val="24"/>
              </w:rPr>
            </w:pPr>
            <w:r w:rsidRPr="00C002F5">
              <w:rPr>
                <w:rFonts w:asciiTheme="minorEastAsia" w:hAnsiTheme="minorEastAsia" w:cs="宋体" w:hint="eastAsia"/>
                <w:color w:val="000000"/>
                <w:kern w:val="0"/>
                <w:szCs w:val="21"/>
              </w:rPr>
              <w:t>50</w:t>
            </w:r>
          </w:p>
        </w:tc>
      </w:tr>
    </w:tbl>
    <w:p w:rsidR="00C002F5" w:rsidRPr="00C002F5" w:rsidRDefault="00C002F5" w:rsidP="00C002F5">
      <w:pPr>
        <w:widowControl/>
        <w:shd w:val="clear" w:color="auto" w:fill="FFFFFF"/>
        <w:spacing w:line="450" w:lineRule="atLeast"/>
        <w:jc w:val="center"/>
        <w:rPr>
          <w:rFonts w:asciiTheme="minorEastAsia" w:hAnsiTheme="minorEastAsia" w:cs="宋体" w:hint="eastAsia"/>
          <w:color w:val="000000"/>
          <w:kern w:val="0"/>
          <w:szCs w:val="21"/>
          <w:lang w:val="en"/>
        </w:rPr>
      </w:pPr>
      <w:r w:rsidRPr="00C002F5">
        <w:rPr>
          <w:rFonts w:asciiTheme="minorEastAsia" w:hAnsiTheme="minorEastAsia" w:cs="宋体" w:hint="eastAsia"/>
          <w:color w:val="000000"/>
          <w:kern w:val="0"/>
          <w:sz w:val="18"/>
          <w:szCs w:val="18"/>
          <w:lang w:val="en"/>
        </w:rPr>
        <w:t>注：表中未作规定的生产设施污染物排放限值按国家、地方排放标准或其他相关规定执行。</w:t>
      </w:r>
      <w:bookmarkStart w:id="0" w:name="_GoBack"/>
      <w:bookmarkEnd w:id="0"/>
    </w:p>
    <w:p w:rsidR="00C002F5" w:rsidRPr="00C002F5" w:rsidRDefault="00C002F5" w:rsidP="00C002F5">
      <w:pPr>
        <w:widowControl/>
        <w:shd w:val="clear" w:color="auto" w:fill="FFFFFF"/>
        <w:spacing w:line="540" w:lineRule="atLeast"/>
        <w:jc w:val="left"/>
        <w:rPr>
          <w:rFonts w:asciiTheme="minorEastAsia" w:hAnsiTheme="minorEastAsia" w:cs="宋体" w:hint="eastAsia"/>
          <w:color w:val="000000"/>
          <w:kern w:val="0"/>
          <w:sz w:val="24"/>
          <w:szCs w:val="24"/>
          <w:lang w:val="en"/>
        </w:rPr>
      </w:pPr>
      <w:r w:rsidRPr="00C002F5">
        <w:rPr>
          <w:rFonts w:asciiTheme="minorEastAsia" w:hAnsiTheme="minorEastAsia" w:cs="宋体" w:hint="eastAsia"/>
          <w:b/>
          <w:bCs/>
          <w:color w:val="000000"/>
          <w:kern w:val="0"/>
          <w:sz w:val="24"/>
          <w:szCs w:val="24"/>
          <w:lang w:val="en"/>
        </w:rPr>
        <w:t>附件3.</w:t>
      </w:r>
    </w:p>
    <w:p w:rsidR="00C002F5" w:rsidRPr="00C002F5" w:rsidRDefault="00C002F5" w:rsidP="00C002F5">
      <w:pPr>
        <w:widowControl/>
        <w:shd w:val="clear" w:color="auto" w:fill="FFFFFF"/>
        <w:spacing w:line="540" w:lineRule="atLeast"/>
        <w:jc w:val="center"/>
        <w:rPr>
          <w:rFonts w:asciiTheme="minorEastAsia" w:hAnsiTheme="minorEastAsia" w:cs="宋体" w:hint="eastAsia"/>
          <w:color w:val="000000"/>
          <w:kern w:val="0"/>
          <w:sz w:val="24"/>
          <w:szCs w:val="24"/>
          <w:lang w:val="en"/>
        </w:rPr>
      </w:pPr>
      <w:r w:rsidRPr="00C002F5">
        <w:rPr>
          <w:rFonts w:asciiTheme="minorEastAsia" w:hAnsiTheme="minorEastAsia" w:cs="宋体" w:hint="eastAsia"/>
          <w:b/>
          <w:bCs/>
          <w:color w:val="000000"/>
          <w:kern w:val="0"/>
          <w:sz w:val="24"/>
          <w:szCs w:val="24"/>
          <w:lang w:val="en"/>
        </w:rPr>
        <w:t>无组织排放控制措施的界定 </w:t>
      </w:r>
    </w:p>
    <w:tbl>
      <w:tblPr>
        <w:tblW w:w="8522" w:type="dxa"/>
        <w:jc w:val="center"/>
        <w:tblCellMar>
          <w:top w:w="15" w:type="dxa"/>
          <w:left w:w="15" w:type="dxa"/>
          <w:bottom w:w="15" w:type="dxa"/>
          <w:right w:w="15" w:type="dxa"/>
        </w:tblCellMar>
        <w:tblLook w:val="04A0" w:firstRow="1" w:lastRow="0" w:firstColumn="1" w:lastColumn="0" w:noHBand="0" w:noVBand="1"/>
      </w:tblPr>
      <w:tblGrid>
        <w:gridCol w:w="817"/>
        <w:gridCol w:w="1418"/>
        <w:gridCol w:w="4110"/>
        <w:gridCol w:w="2177"/>
      </w:tblGrid>
      <w:tr w:rsidR="00C002F5" w:rsidRPr="00C002F5" w:rsidTr="00C002F5">
        <w:trPr>
          <w:trHeight w:val="567"/>
          <w:jc w:val="center"/>
        </w:trPr>
        <w:tc>
          <w:tcPr>
            <w:tcW w:w="81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C002F5" w:rsidRPr="00C002F5" w:rsidRDefault="00C002F5" w:rsidP="00C002F5">
            <w:pPr>
              <w:widowControl/>
              <w:spacing w:line="540" w:lineRule="atLeast"/>
              <w:jc w:val="center"/>
              <w:rPr>
                <w:rFonts w:asciiTheme="minorEastAsia" w:hAnsiTheme="minorEastAsia" w:cs="宋体"/>
                <w:color w:val="000000"/>
                <w:kern w:val="0"/>
                <w:sz w:val="24"/>
                <w:szCs w:val="24"/>
              </w:rPr>
            </w:pPr>
            <w:r w:rsidRPr="00C002F5">
              <w:rPr>
                <w:rFonts w:asciiTheme="minorEastAsia" w:hAnsiTheme="minorEastAsia" w:cs="宋体" w:hint="eastAsia"/>
                <w:b/>
                <w:bCs/>
                <w:color w:val="000000"/>
                <w:kern w:val="0"/>
                <w:szCs w:val="21"/>
              </w:rPr>
              <w:t>序号</w:t>
            </w:r>
          </w:p>
        </w:tc>
        <w:tc>
          <w:tcPr>
            <w:tcW w:w="1418"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C002F5" w:rsidRPr="00C002F5" w:rsidRDefault="00C002F5" w:rsidP="00C002F5">
            <w:pPr>
              <w:widowControl/>
              <w:spacing w:line="540" w:lineRule="atLeast"/>
              <w:jc w:val="center"/>
              <w:rPr>
                <w:rFonts w:asciiTheme="minorEastAsia" w:hAnsiTheme="minorEastAsia" w:cs="宋体"/>
                <w:color w:val="000000"/>
                <w:kern w:val="0"/>
                <w:sz w:val="24"/>
                <w:szCs w:val="24"/>
              </w:rPr>
            </w:pPr>
            <w:r w:rsidRPr="00C002F5">
              <w:rPr>
                <w:rFonts w:asciiTheme="minorEastAsia" w:hAnsiTheme="minorEastAsia" w:cs="宋体" w:hint="eastAsia"/>
                <w:b/>
                <w:bCs/>
                <w:color w:val="000000"/>
                <w:kern w:val="0"/>
                <w:szCs w:val="21"/>
              </w:rPr>
              <w:t>作业类型</w:t>
            </w:r>
          </w:p>
        </w:tc>
        <w:tc>
          <w:tcPr>
            <w:tcW w:w="411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C002F5" w:rsidRPr="00C002F5" w:rsidRDefault="00C002F5" w:rsidP="00C002F5">
            <w:pPr>
              <w:widowControl/>
              <w:spacing w:line="540" w:lineRule="atLeast"/>
              <w:jc w:val="center"/>
              <w:rPr>
                <w:rFonts w:asciiTheme="minorEastAsia" w:hAnsiTheme="minorEastAsia" w:cs="宋体"/>
                <w:color w:val="000000"/>
                <w:kern w:val="0"/>
                <w:sz w:val="24"/>
                <w:szCs w:val="24"/>
              </w:rPr>
            </w:pPr>
            <w:r w:rsidRPr="00C002F5">
              <w:rPr>
                <w:rFonts w:asciiTheme="minorEastAsia" w:hAnsiTheme="minorEastAsia" w:cs="宋体" w:hint="eastAsia"/>
                <w:b/>
                <w:bCs/>
                <w:color w:val="000000"/>
                <w:kern w:val="0"/>
                <w:szCs w:val="21"/>
              </w:rPr>
              <w:t>措施界定</w:t>
            </w:r>
          </w:p>
        </w:tc>
        <w:tc>
          <w:tcPr>
            <w:tcW w:w="2177"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C002F5" w:rsidRPr="00C002F5" w:rsidRDefault="00C002F5" w:rsidP="00C002F5">
            <w:pPr>
              <w:widowControl/>
              <w:spacing w:line="540" w:lineRule="atLeast"/>
              <w:jc w:val="center"/>
              <w:rPr>
                <w:rFonts w:asciiTheme="minorEastAsia" w:hAnsiTheme="minorEastAsia" w:cs="宋体"/>
                <w:color w:val="000000"/>
                <w:kern w:val="0"/>
                <w:sz w:val="24"/>
                <w:szCs w:val="24"/>
              </w:rPr>
            </w:pPr>
            <w:r w:rsidRPr="00C002F5">
              <w:rPr>
                <w:rFonts w:asciiTheme="minorEastAsia" w:hAnsiTheme="minorEastAsia" w:cs="宋体" w:hint="eastAsia"/>
                <w:b/>
                <w:bCs/>
                <w:color w:val="000000"/>
                <w:kern w:val="0"/>
                <w:szCs w:val="21"/>
              </w:rPr>
              <w:t>示  例</w:t>
            </w:r>
          </w:p>
        </w:tc>
      </w:tr>
      <w:tr w:rsidR="00C002F5" w:rsidRPr="00C002F5" w:rsidTr="00C002F5">
        <w:trPr>
          <w:trHeight w:val="1037"/>
          <w:jc w:val="center"/>
        </w:trPr>
        <w:tc>
          <w:tcPr>
            <w:tcW w:w="81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C002F5" w:rsidRPr="00C002F5" w:rsidRDefault="00C002F5" w:rsidP="00C002F5">
            <w:pPr>
              <w:widowControl/>
              <w:spacing w:line="540" w:lineRule="atLeast"/>
              <w:jc w:val="center"/>
              <w:rPr>
                <w:rFonts w:asciiTheme="minorEastAsia" w:hAnsiTheme="minorEastAsia" w:cs="宋体"/>
                <w:color w:val="000000"/>
                <w:kern w:val="0"/>
                <w:sz w:val="24"/>
                <w:szCs w:val="24"/>
              </w:rPr>
            </w:pPr>
            <w:r w:rsidRPr="00C002F5">
              <w:rPr>
                <w:rFonts w:asciiTheme="minorEastAsia" w:hAnsiTheme="minorEastAsia" w:cs="宋体" w:hint="eastAsia"/>
                <w:color w:val="000000"/>
                <w:kern w:val="0"/>
                <w:szCs w:val="21"/>
              </w:rPr>
              <w:t>1</w:t>
            </w:r>
          </w:p>
        </w:tc>
        <w:tc>
          <w:tcPr>
            <w:tcW w:w="141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002F5" w:rsidRPr="00C002F5" w:rsidRDefault="00C002F5" w:rsidP="00C002F5">
            <w:pPr>
              <w:widowControl/>
              <w:spacing w:line="540" w:lineRule="atLeast"/>
              <w:jc w:val="center"/>
              <w:rPr>
                <w:rFonts w:asciiTheme="minorEastAsia" w:hAnsiTheme="minorEastAsia" w:cs="宋体"/>
                <w:color w:val="000000"/>
                <w:kern w:val="0"/>
                <w:sz w:val="24"/>
                <w:szCs w:val="24"/>
              </w:rPr>
            </w:pPr>
            <w:r w:rsidRPr="00C002F5">
              <w:rPr>
                <w:rFonts w:asciiTheme="minorEastAsia" w:hAnsiTheme="minorEastAsia" w:cs="宋体" w:hint="eastAsia"/>
                <w:color w:val="000000"/>
                <w:kern w:val="0"/>
                <w:szCs w:val="21"/>
              </w:rPr>
              <w:t>密闭</w:t>
            </w:r>
          </w:p>
        </w:tc>
        <w:tc>
          <w:tcPr>
            <w:tcW w:w="411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002F5" w:rsidRPr="00C002F5" w:rsidRDefault="00C002F5" w:rsidP="00C002F5">
            <w:pPr>
              <w:widowControl/>
              <w:spacing w:line="540" w:lineRule="atLeast"/>
              <w:jc w:val="left"/>
              <w:rPr>
                <w:rFonts w:asciiTheme="minorEastAsia" w:hAnsiTheme="minorEastAsia" w:cs="宋体"/>
                <w:color w:val="000000"/>
                <w:kern w:val="0"/>
                <w:sz w:val="24"/>
                <w:szCs w:val="24"/>
              </w:rPr>
            </w:pPr>
            <w:r w:rsidRPr="00C002F5">
              <w:rPr>
                <w:rFonts w:asciiTheme="minorEastAsia" w:hAnsiTheme="minorEastAsia" w:cs="宋体" w:hint="eastAsia"/>
                <w:color w:val="000000"/>
                <w:kern w:val="0"/>
                <w:szCs w:val="21"/>
              </w:rPr>
              <w:t>物料不与环境空气接触，或通过密封材料、密封设备与环境空气隔离的状态或作业方式。</w:t>
            </w:r>
          </w:p>
        </w:tc>
        <w:tc>
          <w:tcPr>
            <w:tcW w:w="217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002F5" w:rsidRPr="00C002F5" w:rsidRDefault="00C002F5" w:rsidP="00C002F5">
            <w:pPr>
              <w:widowControl/>
              <w:spacing w:line="540" w:lineRule="atLeast"/>
              <w:jc w:val="center"/>
              <w:rPr>
                <w:rFonts w:asciiTheme="minorEastAsia" w:hAnsiTheme="minorEastAsia" w:cs="宋体"/>
                <w:color w:val="000000"/>
                <w:kern w:val="0"/>
                <w:sz w:val="24"/>
                <w:szCs w:val="24"/>
              </w:rPr>
            </w:pPr>
            <w:r w:rsidRPr="00C002F5">
              <w:rPr>
                <w:rFonts w:asciiTheme="minorEastAsia" w:hAnsiTheme="minorEastAsia" w:cs="宋体" w:hint="eastAsia"/>
                <w:color w:val="000000"/>
                <w:kern w:val="0"/>
                <w:szCs w:val="21"/>
              </w:rPr>
              <w:t>—</w:t>
            </w:r>
          </w:p>
        </w:tc>
      </w:tr>
      <w:tr w:rsidR="00C002F5" w:rsidRPr="00C002F5" w:rsidTr="00C002F5">
        <w:trPr>
          <w:trHeight w:val="744"/>
          <w:jc w:val="center"/>
        </w:trPr>
        <w:tc>
          <w:tcPr>
            <w:tcW w:w="81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C002F5" w:rsidRPr="00C002F5" w:rsidRDefault="00C002F5" w:rsidP="00C002F5">
            <w:pPr>
              <w:widowControl/>
              <w:spacing w:line="540" w:lineRule="atLeast"/>
              <w:jc w:val="center"/>
              <w:rPr>
                <w:rFonts w:asciiTheme="minorEastAsia" w:hAnsiTheme="minorEastAsia" w:cs="宋体"/>
                <w:color w:val="000000"/>
                <w:kern w:val="0"/>
                <w:sz w:val="24"/>
                <w:szCs w:val="24"/>
              </w:rPr>
            </w:pPr>
            <w:r w:rsidRPr="00C002F5">
              <w:rPr>
                <w:rFonts w:asciiTheme="minorEastAsia" w:hAnsiTheme="minorEastAsia" w:cs="宋体" w:hint="eastAsia"/>
                <w:color w:val="000000"/>
                <w:kern w:val="0"/>
                <w:szCs w:val="21"/>
              </w:rPr>
              <w:t>2</w:t>
            </w:r>
          </w:p>
        </w:tc>
        <w:tc>
          <w:tcPr>
            <w:tcW w:w="141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002F5" w:rsidRPr="00C002F5" w:rsidRDefault="00C002F5" w:rsidP="00C002F5">
            <w:pPr>
              <w:widowControl/>
              <w:spacing w:line="540" w:lineRule="atLeast"/>
              <w:jc w:val="center"/>
              <w:rPr>
                <w:rFonts w:asciiTheme="minorEastAsia" w:hAnsiTheme="minorEastAsia" w:cs="宋体"/>
                <w:color w:val="000000"/>
                <w:kern w:val="0"/>
                <w:sz w:val="24"/>
                <w:szCs w:val="24"/>
              </w:rPr>
            </w:pPr>
            <w:r w:rsidRPr="00C002F5">
              <w:rPr>
                <w:rFonts w:asciiTheme="minorEastAsia" w:hAnsiTheme="minorEastAsia" w:cs="宋体" w:hint="eastAsia"/>
                <w:color w:val="000000"/>
                <w:kern w:val="0"/>
                <w:szCs w:val="21"/>
              </w:rPr>
              <w:t>密闭储存</w:t>
            </w:r>
          </w:p>
        </w:tc>
        <w:tc>
          <w:tcPr>
            <w:tcW w:w="411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002F5" w:rsidRPr="00C002F5" w:rsidRDefault="00C002F5" w:rsidP="00C002F5">
            <w:pPr>
              <w:widowControl/>
              <w:spacing w:line="540" w:lineRule="atLeast"/>
              <w:jc w:val="left"/>
              <w:rPr>
                <w:rFonts w:asciiTheme="minorEastAsia" w:hAnsiTheme="minorEastAsia" w:cs="宋体"/>
                <w:color w:val="000000"/>
                <w:kern w:val="0"/>
                <w:sz w:val="24"/>
                <w:szCs w:val="24"/>
              </w:rPr>
            </w:pPr>
            <w:r w:rsidRPr="00C002F5">
              <w:rPr>
                <w:rFonts w:asciiTheme="minorEastAsia" w:hAnsiTheme="minorEastAsia" w:cs="宋体" w:hint="eastAsia"/>
                <w:color w:val="000000"/>
                <w:kern w:val="0"/>
                <w:szCs w:val="21"/>
              </w:rPr>
              <w:t>将物料储存于与环境空气隔离的建（构）筑物、设施、器具内的作业方式。</w:t>
            </w:r>
          </w:p>
        </w:tc>
        <w:tc>
          <w:tcPr>
            <w:tcW w:w="217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002F5" w:rsidRPr="00C002F5" w:rsidRDefault="00C002F5" w:rsidP="00C002F5">
            <w:pPr>
              <w:widowControl/>
              <w:spacing w:line="540" w:lineRule="atLeast"/>
              <w:jc w:val="center"/>
              <w:rPr>
                <w:rFonts w:asciiTheme="minorEastAsia" w:hAnsiTheme="minorEastAsia" w:cs="宋体"/>
                <w:color w:val="000000"/>
                <w:kern w:val="0"/>
                <w:sz w:val="24"/>
                <w:szCs w:val="24"/>
              </w:rPr>
            </w:pPr>
            <w:r w:rsidRPr="00C002F5">
              <w:rPr>
                <w:rFonts w:asciiTheme="minorEastAsia" w:hAnsiTheme="minorEastAsia" w:cs="宋体" w:hint="eastAsia"/>
                <w:color w:val="000000"/>
                <w:kern w:val="0"/>
                <w:szCs w:val="21"/>
              </w:rPr>
              <w:t>料仓、储罐等</w:t>
            </w:r>
          </w:p>
        </w:tc>
      </w:tr>
      <w:tr w:rsidR="00C002F5" w:rsidRPr="00C002F5" w:rsidTr="00C002F5">
        <w:trPr>
          <w:trHeight w:val="1099"/>
          <w:jc w:val="center"/>
        </w:trPr>
        <w:tc>
          <w:tcPr>
            <w:tcW w:w="81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C002F5" w:rsidRPr="00C002F5" w:rsidRDefault="00C002F5" w:rsidP="00C002F5">
            <w:pPr>
              <w:widowControl/>
              <w:spacing w:line="540" w:lineRule="atLeast"/>
              <w:jc w:val="center"/>
              <w:rPr>
                <w:rFonts w:asciiTheme="minorEastAsia" w:hAnsiTheme="minorEastAsia" w:cs="宋体"/>
                <w:color w:val="000000"/>
                <w:kern w:val="0"/>
                <w:sz w:val="24"/>
                <w:szCs w:val="24"/>
              </w:rPr>
            </w:pPr>
            <w:r w:rsidRPr="00C002F5">
              <w:rPr>
                <w:rFonts w:asciiTheme="minorEastAsia" w:hAnsiTheme="minorEastAsia" w:cs="宋体" w:hint="eastAsia"/>
                <w:color w:val="000000"/>
                <w:kern w:val="0"/>
                <w:szCs w:val="21"/>
              </w:rPr>
              <w:t>3</w:t>
            </w:r>
          </w:p>
        </w:tc>
        <w:tc>
          <w:tcPr>
            <w:tcW w:w="141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002F5" w:rsidRPr="00C002F5" w:rsidRDefault="00C002F5" w:rsidP="00C002F5">
            <w:pPr>
              <w:widowControl/>
              <w:spacing w:line="540" w:lineRule="atLeast"/>
              <w:jc w:val="center"/>
              <w:rPr>
                <w:rFonts w:asciiTheme="minorEastAsia" w:hAnsiTheme="minorEastAsia" w:cs="宋体"/>
                <w:color w:val="000000"/>
                <w:kern w:val="0"/>
                <w:sz w:val="24"/>
                <w:szCs w:val="24"/>
              </w:rPr>
            </w:pPr>
            <w:r w:rsidRPr="00C002F5">
              <w:rPr>
                <w:rFonts w:asciiTheme="minorEastAsia" w:hAnsiTheme="minorEastAsia" w:cs="宋体" w:hint="eastAsia"/>
                <w:color w:val="000000"/>
                <w:kern w:val="0"/>
                <w:szCs w:val="21"/>
              </w:rPr>
              <w:t>密闭输送</w:t>
            </w:r>
          </w:p>
        </w:tc>
        <w:tc>
          <w:tcPr>
            <w:tcW w:w="411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002F5" w:rsidRPr="00C002F5" w:rsidRDefault="00C002F5" w:rsidP="00C002F5">
            <w:pPr>
              <w:widowControl/>
              <w:spacing w:line="540" w:lineRule="atLeast"/>
              <w:jc w:val="left"/>
              <w:rPr>
                <w:rFonts w:asciiTheme="minorEastAsia" w:hAnsiTheme="minorEastAsia" w:cs="宋体"/>
                <w:color w:val="000000"/>
                <w:kern w:val="0"/>
                <w:sz w:val="24"/>
                <w:szCs w:val="24"/>
              </w:rPr>
            </w:pPr>
            <w:r w:rsidRPr="00C002F5">
              <w:rPr>
                <w:rFonts w:asciiTheme="minorEastAsia" w:hAnsiTheme="minorEastAsia" w:cs="宋体" w:hint="eastAsia"/>
                <w:color w:val="000000"/>
                <w:kern w:val="0"/>
                <w:szCs w:val="21"/>
              </w:rPr>
              <w:t>物料输送过程与环境空气隔离的作业方式。</w:t>
            </w:r>
          </w:p>
        </w:tc>
        <w:tc>
          <w:tcPr>
            <w:tcW w:w="217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002F5" w:rsidRPr="00C002F5" w:rsidRDefault="00C002F5" w:rsidP="00C002F5">
            <w:pPr>
              <w:widowControl/>
              <w:spacing w:line="540" w:lineRule="atLeast"/>
              <w:jc w:val="center"/>
              <w:rPr>
                <w:rFonts w:asciiTheme="minorEastAsia" w:hAnsiTheme="minorEastAsia" w:cs="宋体"/>
                <w:color w:val="000000"/>
                <w:kern w:val="0"/>
                <w:sz w:val="24"/>
                <w:szCs w:val="24"/>
              </w:rPr>
            </w:pPr>
            <w:r w:rsidRPr="00C002F5">
              <w:rPr>
                <w:rFonts w:asciiTheme="minorEastAsia" w:hAnsiTheme="minorEastAsia" w:cs="宋体" w:hint="eastAsia"/>
                <w:color w:val="000000"/>
                <w:kern w:val="0"/>
                <w:szCs w:val="21"/>
              </w:rPr>
              <w:t>管道、管状带式输送机、气力输送设备、罐车等</w:t>
            </w:r>
          </w:p>
        </w:tc>
      </w:tr>
      <w:tr w:rsidR="00C002F5" w:rsidRPr="00C002F5" w:rsidTr="00C002F5">
        <w:trPr>
          <w:trHeight w:val="1317"/>
          <w:jc w:val="center"/>
        </w:trPr>
        <w:tc>
          <w:tcPr>
            <w:tcW w:w="81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C002F5" w:rsidRPr="00C002F5" w:rsidRDefault="00C002F5" w:rsidP="00C002F5">
            <w:pPr>
              <w:widowControl/>
              <w:spacing w:line="540" w:lineRule="atLeast"/>
              <w:jc w:val="center"/>
              <w:rPr>
                <w:rFonts w:asciiTheme="minorEastAsia" w:hAnsiTheme="minorEastAsia" w:cs="宋体"/>
                <w:color w:val="000000"/>
                <w:kern w:val="0"/>
                <w:sz w:val="24"/>
                <w:szCs w:val="24"/>
              </w:rPr>
            </w:pPr>
            <w:r w:rsidRPr="00C002F5">
              <w:rPr>
                <w:rFonts w:asciiTheme="minorEastAsia" w:hAnsiTheme="minorEastAsia" w:cs="宋体" w:hint="eastAsia"/>
                <w:color w:val="000000"/>
                <w:kern w:val="0"/>
                <w:szCs w:val="21"/>
              </w:rPr>
              <w:t>4</w:t>
            </w:r>
          </w:p>
        </w:tc>
        <w:tc>
          <w:tcPr>
            <w:tcW w:w="141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002F5" w:rsidRPr="00C002F5" w:rsidRDefault="00C002F5" w:rsidP="00C002F5">
            <w:pPr>
              <w:widowControl/>
              <w:spacing w:line="540" w:lineRule="atLeast"/>
              <w:jc w:val="center"/>
              <w:rPr>
                <w:rFonts w:asciiTheme="minorEastAsia" w:hAnsiTheme="minorEastAsia" w:cs="宋体"/>
                <w:color w:val="000000"/>
                <w:kern w:val="0"/>
                <w:sz w:val="24"/>
                <w:szCs w:val="24"/>
              </w:rPr>
            </w:pPr>
            <w:r w:rsidRPr="00C002F5">
              <w:rPr>
                <w:rFonts w:asciiTheme="minorEastAsia" w:hAnsiTheme="minorEastAsia" w:cs="宋体" w:hint="eastAsia"/>
                <w:color w:val="000000"/>
                <w:kern w:val="0"/>
                <w:szCs w:val="21"/>
              </w:rPr>
              <w:t>封闭</w:t>
            </w:r>
          </w:p>
        </w:tc>
        <w:tc>
          <w:tcPr>
            <w:tcW w:w="411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002F5" w:rsidRPr="00C002F5" w:rsidRDefault="00C002F5" w:rsidP="00C002F5">
            <w:pPr>
              <w:widowControl/>
              <w:spacing w:line="540" w:lineRule="atLeast"/>
              <w:jc w:val="left"/>
              <w:rPr>
                <w:rFonts w:asciiTheme="minorEastAsia" w:hAnsiTheme="minorEastAsia" w:cs="宋体"/>
                <w:color w:val="000000"/>
                <w:kern w:val="0"/>
                <w:sz w:val="24"/>
                <w:szCs w:val="24"/>
              </w:rPr>
            </w:pPr>
            <w:r w:rsidRPr="00C002F5">
              <w:rPr>
                <w:rFonts w:asciiTheme="minorEastAsia" w:hAnsiTheme="minorEastAsia" w:cs="宋体" w:hint="eastAsia"/>
                <w:color w:val="000000"/>
                <w:kern w:val="0"/>
                <w:szCs w:val="21"/>
              </w:rPr>
              <w:t>利用完整的围护结构将物料、作业场所等与周围空间阻隔的状态或作业方式，设置的门窗、盖板、检修口等配套设施在非必要时应关闭。</w:t>
            </w:r>
          </w:p>
        </w:tc>
        <w:tc>
          <w:tcPr>
            <w:tcW w:w="217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002F5" w:rsidRPr="00C002F5" w:rsidRDefault="00C002F5" w:rsidP="00C002F5">
            <w:pPr>
              <w:widowControl/>
              <w:spacing w:line="540" w:lineRule="atLeast"/>
              <w:jc w:val="center"/>
              <w:rPr>
                <w:rFonts w:asciiTheme="minorEastAsia" w:hAnsiTheme="minorEastAsia" w:cs="宋体"/>
                <w:color w:val="000000"/>
                <w:kern w:val="0"/>
                <w:sz w:val="24"/>
                <w:szCs w:val="24"/>
              </w:rPr>
            </w:pPr>
            <w:r w:rsidRPr="00C002F5">
              <w:rPr>
                <w:rFonts w:asciiTheme="minorEastAsia" w:hAnsiTheme="minorEastAsia" w:cs="宋体" w:hint="eastAsia"/>
                <w:color w:val="000000"/>
                <w:kern w:val="0"/>
                <w:szCs w:val="21"/>
              </w:rPr>
              <w:t>—</w:t>
            </w:r>
          </w:p>
        </w:tc>
      </w:tr>
      <w:tr w:rsidR="00C002F5" w:rsidRPr="00C002F5" w:rsidTr="00C002F5">
        <w:trPr>
          <w:trHeight w:val="972"/>
          <w:jc w:val="center"/>
        </w:trPr>
        <w:tc>
          <w:tcPr>
            <w:tcW w:w="81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C002F5" w:rsidRPr="00C002F5" w:rsidRDefault="00C002F5" w:rsidP="00C002F5">
            <w:pPr>
              <w:widowControl/>
              <w:spacing w:line="540" w:lineRule="atLeast"/>
              <w:jc w:val="center"/>
              <w:rPr>
                <w:rFonts w:asciiTheme="minorEastAsia" w:hAnsiTheme="minorEastAsia" w:cs="宋体"/>
                <w:color w:val="000000"/>
                <w:kern w:val="0"/>
                <w:sz w:val="24"/>
                <w:szCs w:val="24"/>
              </w:rPr>
            </w:pPr>
            <w:r w:rsidRPr="00C002F5">
              <w:rPr>
                <w:rFonts w:asciiTheme="minorEastAsia" w:hAnsiTheme="minorEastAsia" w:cs="宋体" w:hint="eastAsia"/>
                <w:color w:val="000000"/>
                <w:kern w:val="0"/>
                <w:szCs w:val="21"/>
              </w:rPr>
              <w:t>5</w:t>
            </w:r>
          </w:p>
        </w:tc>
        <w:tc>
          <w:tcPr>
            <w:tcW w:w="141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002F5" w:rsidRPr="00C002F5" w:rsidRDefault="00C002F5" w:rsidP="00C002F5">
            <w:pPr>
              <w:widowControl/>
              <w:spacing w:line="540" w:lineRule="atLeast"/>
              <w:jc w:val="center"/>
              <w:rPr>
                <w:rFonts w:asciiTheme="minorEastAsia" w:hAnsiTheme="minorEastAsia" w:cs="宋体"/>
                <w:color w:val="000000"/>
                <w:kern w:val="0"/>
                <w:sz w:val="24"/>
                <w:szCs w:val="24"/>
              </w:rPr>
            </w:pPr>
            <w:r w:rsidRPr="00C002F5">
              <w:rPr>
                <w:rFonts w:asciiTheme="minorEastAsia" w:hAnsiTheme="minorEastAsia" w:cs="宋体" w:hint="eastAsia"/>
                <w:color w:val="000000"/>
                <w:kern w:val="0"/>
                <w:szCs w:val="21"/>
              </w:rPr>
              <w:t>封闭储存</w:t>
            </w:r>
          </w:p>
        </w:tc>
        <w:tc>
          <w:tcPr>
            <w:tcW w:w="411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002F5" w:rsidRPr="00C002F5" w:rsidRDefault="00C002F5" w:rsidP="00C002F5">
            <w:pPr>
              <w:widowControl/>
              <w:spacing w:line="540" w:lineRule="atLeast"/>
              <w:jc w:val="left"/>
              <w:rPr>
                <w:rFonts w:asciiTheme="minorEastAsia" w:hAnsiTheme="minorEastAsia" w:cs="宋体"/>
                <w:color w:val="000000"/>
                <w:kern w:val="0"/>
                <w:sz w:val="24"/>
                <w:szCs w:val="24"/>
              </w:rPr>
            </w:pPr>
            <w:r w:rsidRPr="00C002F5">
              <w:rPr>
                <w:rFonts w:asciiTheme="minorEastAsia" w:hAnsiTheme="minorEastAsia" w:cs="宋体" w:hint="eastAsia"/>
                <w:color w:val="000000"/>
                <w:kern w:val="0"/>
                <w:szCs w:val="21"/>
              </w:rPr>
              <w:t>将物料储存于具有完整围墙（围挡）及屋顶结构的建筑物内的作业方式，建筑物的门窗在非必要时应关闭。</w:t>
            </w:r>
          </w:p>
        </w:tc>
        <w:tc>
          <w:tcPr>
            <w:tcW w:w="217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002F5" w:rsidRPr="00C002F5" w:rsidRDefault="00C002F5" w:rsidP="00C002F5">
            <w:pPr>
              <w:widowControl/>
              <w:spacing w:line="540" w:lineRule="atLeast"/>
              <w:jc w:val="center"/>
              <w:rPr>
                <w:rFonts w:asciiTheme="minorEastAsia" w:hAnsiTheme="minorEastAsia" w:cs="宋体"/>
                <w:color w:val="000000"/>
                <w:kern w:val="0"/>
                <w:sz w:val="24"/>
                <w:szCs w:val="24"/>
              </w:rPr>
            </w:pPr>
            <w:r w:rsidRPr="00C002F5">
              <w:rPr>
                <w:rFonts w:asciiTheme="minorEastAsia" w:hAnsiTheme="minorEastAsia" w:cs="宋体" w:hint="eastAsia"/>
                <w:color w:val="000000"/>
                <w:kern w:val="0"/>
                <w:szCs w:val="21"/>
              </w:rPr>
              <w:t>储库、仓库等</w:t>
            </w:r>
          </w:p>
        </w:tc>
      </w:tr>
      <w:tr w:rsidR="00C002F5" w:rsidRPr="00C002F5" w:rsidTr="00C002F5">
        <w:trPr>
          <w:trHeight w:val="1084"/>
          <w:jc w:val="center"/>
        </w:trPr>
        <w:tc>
          <w:tcPr>
            <w:tcW w:w="81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C002F5" w:rsidRPr="00C002F5" w:rsidRDefault="00C002F5" w:rsidP="00C002F5">
            <w:pPr>
              <w:widowControl/>
              <w:spacing w:line="540" w:lineRule="atLeast"/>
              <w:jc w:val="center"/>
              <w:rPr>
                <w:rFonts w:asciiTheme="minorEastAsia" w:hAnsiTheme="minorEastAsia" w:cs="宋体"/>
                <w:color w:val="000000"/>
                <w:kern w:val="0"/>
                <w:sz w:val="24"/>
                <w:szCs w:val="24"/>
              </w:rPr>
            </w:pPr>
            <w:r w:rsidRPr="00C002F5">
              <w:rPr>
                <w:rFonts w:asciiTheme="minorEastAsia" w:hAnsiTheme="minorEastAsia" w:cs="宋体" w:hint="eastAsia"/>
                <w:color w:val="000000"/>
                <w:kern w:val="0"/>
                <w:szCs w:val="21"/>
              </w:rPr>
              <w:lastRenderedPageBreak/>
              <w:t>6</w:t>
            </w:r>
          </w:p>
        </w:tc>
        <w:tc>
          <w:tcPr>
            <w:tcW w:w="141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002F5" w:rsidRPr="00C002F5" w:rsidRDefault="00C002F5" w:rsidP="00C002F5">
            <w:pPr>
              <w:widowControl/>
              <w:spacing w:line="540" w:lineRule="atLeast"/>
              <w:jc w:val="center"/>
              <w:rPr>
                <w:rFonts w:asciiTheme="minorEastAsia" w:hAnsiTheme="minorEastAsia" w:cs="宋体"/>
                <w:color w:val="000000"/>
                <w:kern w:val="0"/>
                <w:sz w:val="24"/>
                <w:szCs w:val="24"/>
              </w:rPr>
            </w:pPr>
            <w:r w:rsidRPr="00C002F5">
              <w:rPr>
                <w:rFonts w:asciiTheme="minorEastAsia" w:hAnsiTheme="minorEastAsia" w:cs="宋体" w:hint="eastAsia"/>
                <w:color w:val="000000"/>
                <w:kern w:val="0"/>
                <w:szCs w:val="21"/>
              </w:rPr>
              <w:t>封闭输送</w:t>
            </w:r>
          </w:p>
        </w:tc>
        <w:tc>
          <w:tcPr>
            <w:tcW w:w="411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002F5" w:rsidRPr="00C002F5" w:rsidRDefault="00C002F5" w:rsidP="00C002F5">
            <w:pPr>
              <w:widowControl/>
              <w:spacing w:line="540" w:lineRule="atLeast"/>
              <w:jc w:val="left"/>
              <w:rPr>
                <w:rFonts w:asciiTheme="minorEastAsia" w:hAnsiTheme="minorEastAsia" w:cs="宋体"/>
                <w:color w:val="000000"/>
                <w:kern w:val="0"/>
                <w:sz w:val="24"/>
                <w:szCs w:val="24"/>
              </w:rPr>
            </w:pPr>
            <w:r w:rsidRPr="00C002F5">
              <w:rPr>
                <w:rFonts w:asciiTheme="minorEastAsia" w:hAnsiTheme="minorEastAsia" w:cs="宋体" w:hint="eastAsia"/>
                <w:color w:val="000000"/>
                <w:kern w:val="0"/>
                <w:szCs w:val="21"/>
              </w:rPr>
              <w:t>在完整的围护结构内进行物料输送作业，围护结构的门窗、盖板、检修口等配套设施在非必要时应关闭。</w:t>
            </w:r>
          </w:p>
        </w:tc>
        <w:tc>
          <w:tcPr>
            <w:tcW w:w="217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002F5" w:rsidRPr="00C002F5" w:rsidRDefault="00C002F5" w:rsidP="00C002F5">
            <w:pPr>
              <w:widowControl/>
              <w:spacing w:line="540" w:lineRule="atLeast"/>
              <w:jc w:val="center"/>
              <w:rPr>
                <w:rFonts w:asciiTheme="minorEastAsia" w:hAnsiTheme="minorEastAsia" w:cs="宋体"/>
                <w:color w:val="000000"/>
                <w:kern w:val="0"/>
                <w:sz w:val="24"/>
                <w:szCs w:val="24"/>
              </w:rPr>
            </w:pPr>
            <w:r w:rsidRPr="00C002F5">
              <w:rPr>
                <w:rFonts w:asciiTheme="minorEastAsia" w:hAnsiTheme="minorEastAsia" w:cs="宋体" w:hint="eastAsia"/>
                <w:color w:val="000000"/>
                <w:kern w:val="0"/>
                <w:szCs w:val="21"/>
              </w:rPr>
              <w:t>皮带通廊、</w:t>
            </w:r>
          </w:p>
          <w:p w:rsidR="00C002F5" w:rsidRPr="00C002F5" w:rsidRDefault="00C002F5" w:rsidP="00C002F5">
            <w:pPr>
              <w:widowControl/>
              <w:spacing w:line="540" w:lineRule="atLeast"/>
              <w:jc w:val="center"/>
              <w:rPr>
                <w:rFonts w:asciiTheme="minorEastAsia" w:hAnsiTheme="minorEastAsia" w:cs="宋体"/>
                <w:color w:val="000000"/>
                <w:kern w:val="0"/>
                <w:sz w:val="24"/>
                <w:szCs w:val="24"/>
              </w:rPr>
            </w:pPr>
            <w:r w:rsidRPr="00C002F5">
              <w:rPr>
                <w:rFonts w:asciiTheme="minorEastAsia" w:hAnsiTheme="minorEastAsia" w:cs="宋体" w:hint="eastAsia"/>
                <w:color w:val="000000"/>
                <w:kern w:val="0"/>
                <w:szCs w:val="21"/>
              </w:rPr>
              <w:t>封闭车厢等</w:t>
            </w:r>
          </w:p>
        </w:tc>
      </w:tr>
      <w:tr w:rsidR="00C002F5" w:rsidRPr="00C002F5" w:rsidTr="00C002F5">
        <w:trPr>
          <w:trHeight w:val="772"/>
          <w:jc w:val="center"/>
        </w:trPr>
        <w:tc>
          <w:tcPr>
            <w:tcW w:w="81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C002F5" w:rsidRPr="00C002F5" w:rsidRDefault="00C002F5" w:rsidP="00C002F5">
            <w:pPr>
              <w:widowControl/>
              <w:spacing w:line="540" w:lineRule="atLeast"/>
              <w:jc w:val="center"/>
              <w:rPr>
                <w:rFonts w:asciiTheme="minorEastAsia" w:hAnsiTheme="minorEastAsia" w:cs="宋体"/>
                <w:color w:val="000000"/>
                <w:kern w:val="0"/>
                <w:sz w:val="24"/>
                <w:szCs w:val="24"/>
              </w:rPr>
            </w:pPr>
            <w:r w:rsidRPr="00C002F5">
              <w:rPr>
                <w:rFonts w:asciiTheme="minorEastAsia" w:hAnsiTheme="minorEastAsia" w:cs="宋体" w:hint="eastAsia"/>
                <w:color w:val="000000"/>
                <w:kern w:val="0"/>
                <w:szCs w:val="21"/>
              </w:rPr>
              <w:t>7</w:t>
            </w:r>
          </w:p>
        </w:tc>
        <w:tc>
          <w:tcPr>
            <w:tcW w:w="141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002F5" w:rsidRPr="00C002F5" w:rsidRDefault="00C002F5" w:rsidP="00C002F5">
            <w:pPr>
              <w:widowControl/>
              <w:spacing w:line="540" w:lineRule="atLeast"/>
              <w:jc w:val="center"/>
              <w:rPr>
                <w:rFonts w:asciiTheme="minorEastAsia" w:hAnsiTheme="minorEastAsia" w:cs="宋体"/>
                <w:color w:val="000000"/>
                <w:kern w:val="0"/>
                <w:sz w:val="24"/>
                <w:szCs w:val="24"/>
              </w:rPr>
            </w:pPr>
            <w:r w:rsidRPr="00C002F5">
              <w:rPr>
                <w:rFonts w:asciiTheme="minorEastAsia" w:hAnsiTheme="minorEastAsia" w:cs="宋体" w:hint="eastAsia"/>
                <w:color w:val="000000"/>
                <w:kern w:val="0"/>
                <w:szCs w:val="21"/>
              </w:rPr>
              <w:t>封闭车间</w:t>
            </w:r>
          </w:p>
        </w:tc>
        <w:tc>
          <w:tcPr>
            <w:tcW w:w="411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002F5" w:rsidRPr="00C002F5" w:rsidRDefault="00C002F5" w:rsidP="00C002F5">
            <w:pPr>
              <w:widowControl/>
              <w:spacing w:line="540" w:lineRule="atLeast"/>
              <w:jc w:val="left"/>
              <w:rPr>
                <w:rFonts w:asciiTheme="minorEastAsia" w:hAnsiTheme="minorEastAsia" w:cs="宋体"/>
                <w:color w:val="000000"/>
                <w:kern w:val="0"/>
                <w:sz w:val="24"/>
                <w:szCs w:val="24"/>
              </w:rPr>
            </w:pPr>
            <w:r w:rsidRPr="00C002F5">
              <w:rPr>
                <w:rFonts w:asciiTheme="minorEastAsia" w:hAnsiTheme="minorEastAsia" w:cs="宋体" w:hint="eastAsia"/>
                <w:color w:val="000000"/>
                <w:kern w:val="0"/>
                <w:szCs w:val="21"/>
              </w:rPr>
              <w:t>具有完整围墙（围挡）及屋顶结构的建筑物，建筑物的门窗在非必要时应关闭。</w:t>
            </w:r>
          </w:p>
        </w:tc>
        <w:tc>
          <w:tcPr>
            <w:tcW w:w="217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002F5" w:rsidRPr="00C002F5" w:rsidRDefault="00C002F5" w:rsidP="00C002F5">
            <w:pPr>
              <w:widowControl/>
              <w:spacing w:line="540" w:lineRule="atLeast"/>
              <w:jc w:val="center"/>
              <w:rPr>
                <w:rFonts w:asciiTheme="minorEastAsia" w:hAnsiTheme="minorEastAsia" w:cs="宋体"/>
                <w:color w:val="000000"/>
                <w:kern w:val="0"/>
                <w:sz w:val="24"/>
                <w:szCs w:val="24"/>
              </w:rPr>
            </w:pPr>
            <w:bookmarkStart w:id="1" w:name="OLE_LINK1"/>
            <w:r w:rsidRPr="00C002F5">
              <w:rPr>
                <w:rFonts w:asciiTheme="minorEastAsia" w:hAnsiTheme="minorEastAsia" w:cs="宋体" w:hint="eastAsia"/>
                <w:color w:val="000000"/>
                <w:kern w:val="0"/>
                <w:szCs w:val="21"/>
              </w:rPr>
              <w:t>—</w:t>
            </w:r>
            <w:bookmarkEnd w:id="1"/>
          </w:p>
        </w:tc>
      </w:tr>
    </w:tbl>
    <w:p w:rsidR="00C002F5" w:rsidRPr="00C002F5" w:rsidRDefault="00C002F5">
      <w:pPr>
        <w:rPr>
          <w:rFonts w:asciiTheme="minorEastAsia" w:hAnsiTheme="minorEastAsia"/>
        </w:rPr>
      </w:pPr>
    </w:p>
    <w:sectPr w:rsidR="00C002F5" w:rsidRPr="00C002F5">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02F5"/>
    <w:rsid w:val="00C002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77620249">
      <w:bodyDiv w:val="1"/>
      <w:marLeft w:val="0"/>
      <w:marRight w:val="0"/>
      <w:marTop w:val="0"/>
      <w:marBottom w:val="0"/>
      <w:divBdr>
        <w:top w:val="none" w:sz="0" w:space="0" w:color="auto"/>
        <w:left w:val="none" w:sz="0" w:space="0" w:color="auto"/>
        <w:bottom w:val="none" w:sz="0" w:space="0" w:color="auto"/>
        <w:right w:val="none" w:sz="0" w:space="0" w:color="auto"/>
      </w:divBdr>
      <w:divsChild>
        <w:div w:id="1911622793">
          <w:marLeft w:val="0"/>
          <w:marRight w:val="0"/>
          <w:marTop w:val="0"/>
          <w:marBottom w:val="0"/>
          <w:divBdr>
            <w:top w:val="none" w:sz="0" w:space="0" w:color="auto"/>
            <w:left w:val="none" w:sz="0" w:space="0" w:color="auto"/>
            <w:bottom w:val="none" w:sz="0" w:space="0" w:color="auto"/>
            <w:right w:val="none" w:sz="0" w:space="0" w:color="auto"/>
          </w:divBdr>
          <w:divsChild>
            <w:div w:id="1367484185">
              <w:marLeft w:val="0"/>
              <w:marRight w:val="0"/>
              <w:marTop w:val="0"/>
              <w:marBottom w:val="0"/>
              <w:divBdr>
                <w:top w:val="none" w:sz="0" w:space="0" w:color="auto"/>
                <w:left w:val="none" w:sz="0" w:space="0" w:color="auto"/>
                <w:bottom w:val="none" w:sz="0" w:space="0" w:color="auto"/>
                <w:right w:val="none" w:sz="0" w:space="0" w:color="auto"/>
              </w:divBdr>
              <w:divsChild>
                <w:div w:id="1262714841">
                  <w:marLeft w:val="0"/>
                  <w:marRight w:val="0"/>
                  <w:marTop w:val="0"/>
                  <w:marBottom w:val="0"/>
                  <w:divBdr>
                    <w:top w:val="single" w:sz="6" w:space="7" w:color="EAEAEA"/>
                    <w:left w:val="single" w:sz="6" w:space="7" w:color="EAEAEA"/>
                    <w:bottom w:val="single" w:sz="6" w:space="7" w:color="EAEAEA"/>
                    <w:right w:val="single" w:sz="6" w:space="7" w:color="EAEAEA"/>
                  </w:divBdr>
                  <w:divsChild>
                    <w:div w:id="536627207">
                      <w:marLeft w:val="0"/>
                      <w:marRight w:val="0"/>
                      <w:marTop w:val="0"/>
                      <w:marBottom w:val="0"/>
                      <w:divBdr>
                        <w:top w:val="single" w:sz="6" w:space="23" w:color="EFEFEF"/>
                        <w:left w:val="single" w:sz="6" w:space="30" w:color="EFEFEF"/>
                        <w:bottom w:val="single" w:sz="6" w:space="23" w:color="EFEFEF"/>
                        <w:right w:val="single" w:sz="6" w:space="30" w:color="EFEFEF"/>
                      </w:divBdr>
                      <w:divsChild>
                        <w:div w:id="1740862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12</Pages>
  <Words>1150</Words>
  <Characters>6560</Characters>
  <Application>Microsoft Office Word</Application>
  <DocSecurity>0</DocSecurity>
  <Lines>54</Lines>
  <Paragraphs>15</Paragraphs>
  <ScaleCrop>false</ScaleCrop>
  <Company/>
  <LinksUpToDate>false</LinksUpToDate>
  <CharactersWithSpaces>7695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dc:creator>
  <cp:lastModifiedBy>ww</cp:lastModifiedBy>
  <cp:revision>1</cp:revision>
  <dcterms:created xsi:type="dcterms:W3CDTF">2019-05-13T07:14:00Z</dcterms:created>
  <dcterms:modified xsi:type="dcterms:W3CDTF">2019-05-13T07:18:00Z</dcterms:modified>
</cp:coreProperties>
</file>